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Times New Roman" w:hAnsi="Times New Roman" w:eastAsia="宋体" w:cs="Times New Roman"/>
          <w:sz w:val="52"/>
          <w:szCs w:val="20"/>
        </w:rPr>
      </w:pPr>
    </w:p>
    <w:p>
      <w:pPr>
        <w:adjustRightInd w:val="0"/>
        <w:snapToGrid w:val="0"/>
        <w:spacing w:line="360" w:lineRule="auto"/>
        <w:jc w:val="center"/>
        <w:rPr>
          <w:rFonts w:ascii="Times New Roman" w:hAnsi="Times New Roman" w:eastAsia="宋体" w:cs="Times New Roman"/>
          <w:sz w:val="52"/>
          <w:szCs w:val="20"/>
        </w:rPr>
      </w:pPr>
    </w:p>
    <w:p>
      <w:pPr>
        <w:adjustRightInd w:val="0"/>
        <w:snapToGrid w:val="0"/>
        <w:spacing w:line="360" w:lineRule="auto"/>
        <w:jc w:val="center"/>
        <w:rPr>
          <w:rFonts w:ascii="Times New Roman" w:hAnsi="Times New Roman" w:eastAsia="宋体" w:cs="Times New Roman"/>
          <w:sz w:val="52"/>
          <w:szCs w:val="20"/>
        </w:rPr>
      </w:pPr>
      <w:r>
        <w:rPr>
          <w:rFonts w:hint="eastAsia" w:ascii="Times New Roman" w:hAnsi="Times New Roman" w:eastAsia="宋体" w:cs="Times New Roman"/>
          <w:sz w:val="52"/>
          <w:szCs w:val="20"/>
        </w:rPr>
        <w:t>湛江市地方标准</w:t>
      </w:r>
    </w:p>
    <w:p>
      <w:pPr>
        <w:pStyle w:val="5"/>
        <w:spacing w:line="360" w:lineRule="auto"/>
        <w:jc w:val="center"/>
        <w:rPr>
          <w:rFonts w:ascii="Times New Roman" w:hAnsi="Times New Roman" w:eastAsia="黑体" w:cs="Times New Roman"/>
          <w:sz w:val="44"/>
          <w:szCs w:val="44"/>
        </w:rPr>
      </w:pPr>
    </w:p>
    <w:p>
      <w:pPr>
        <w:pStyle w:val="5"/>
        <w:spacing w:line="360" w:lineRule="auto"/>
        <w:jc w:val="center"/>
        <w:rPr>
          <w:rFonts w:ascii="Times New Roman" w:hAnsi="Times New Roman" w:eastAsia="黑体" w:cs="Times New Roman"/>
          <w:sz w:val="44"/>
          <w:szCs w:val="44"/>
        </w:rPr>
      </w:pPr>
      <w:r>
        <w:rPr>
          <w:rFonts w:hint="eastAsia" w:ascii="Times New Roman" w:hAnsi="Times New Roman" w:eastAsia="黑体" w:cs="Times New Roman"/>
          <w:sz w:val="44"/>
          <w:szCs w:val="44"/>
        </w:rPr>
        <w:t>《卵形鲳鲹深远海陆海接力大规格鱼种培育技术规程（征求意见稿）》</w:t>
      </w:r>
    </w:p>
    <w:p>
      <w:pPr>
        <w:tabs>
          <w:tab w:val="center" w:pos="4153"/>
          <w:tab w:val="left" w:pos="7320"/>
        </w:tabs>
        <w:adjustRightInd w:val="0"/>
        <w:snapToGrid w:val="0"/>
        <w:spacing w:line="360" w:lineRule="auto"/>
        <w:jc w:val="center"/>
        <w:rPr>
          <w:rFonts w:ascii="Times New Roman" w:hAnsi="Times New Roman" w:eastAsia="宋体" w:cs="Times New Roman"/>
          <w:sz w:val="52"/>
          <w:szCs w:val="20"/>
        </w:rPr>
      </w:pPr>
    </w:p>
    <w:p>
      <w:pPr>
        <w:tabs>
          <w:tab w:val="center" w:pos="4153"/>
          <w:tab w:val="left" w:pos="7320"/>
        </w:tabs>
        <w:adjustRightInd w:val="0"/>
        <w:snapToGrid w:val="0"/>
        <w:spacing w:line="360" w:lineRule="auto"/>
        <w:jc w:val="center"/>
        <w:rPr>
          <w:rFonts w:ascii="Times New Roman" w:hAnsi="Times New Roman" w:eastAsia="宋体" w:cs="Times New Roman"/>
          <w:sz w:val="52"/>
          <w:szCs w:val="20"/>
        </w:rPr>
      </w:pPr>
      <w:r>
        <w:rPr>
          <w:rFonts w:hint="eastAsia" w:ascii="Times New Roman" w:hAnsi="Times New Roman" w:eastAsia="宋体" w:cs="Times New Roman"/>
          <w:sz w:val="52"/>
          <w:szCs w:val="20"/>
        </w:rPr>
        <w:t>编制说明</w:t>
      </w:r>
    </w:p>
    <w:p/>
    <w:p/>
    <w:p/>
    <w:p/>
    <w:p/>
    <w:p/>
    <w:p/>
    <w:p/>
    <w:p/>
    <w:p/>
    <w:p/>
    <w:p/>
    <w:p/>
    <w:p/>
    <w:p/>
    <w:p/>
    <w:p>
      <w:pPr>
        <w:spacing w:line="440" w:lineRule="exact"/>
        <w:rPr>
          <w:sz w:val="36"/>
        </w:rPr>
      </w:pPr>
    </w:p>
    <w:p>
      <w:pPr>
        <w:spacing w:line="440" w:lineRule="exact"/>
        <w:jc w:val="center"/>
        <w:rPr>
          <w:sz w:val="32"/>
        </w:rPr>
      </w:pPr>
      <w:r>
        <w:rPr>
          <w:rFonts w:hint="eastAsia"/>
          <w:sz w:val="32"/>
        </w:rPr>
        <w:t>标准起草组</w:t>
      </w:r>
    </w:p>
    <w:p>
      <w:pPr>
        <w:spacing w:line="440" w:lineRule="exact"/>
        <w:jc w:val="center"/>
        <w:rPr>
          <w:sz w:val="32"/>
        </w:rPr>
      </w:pPr>
    </w:p>
    <w:p>
      <w:pPr>
        <w:spacing w:line="440" w:lineRule="exact"/>
        <w:jc w:val="center"/>
        <w:rPr>
          <w:sz w:val="36"/>
        </w:rPr>
      </w:pPr>
      <w:r>
        <w:rPr>
          <w:sz w:val="36"/>
        </w:rPr>
        <w:t>202</w:t>
      </w:r>
      <w:r>
        <w:rPr>
          <w:rFonts w:hint="eastAsia"/>
          <w:sz w:val="36"/>
        </w:rPr>
        <w:t>5</w:t>
      </w:r>
      <w:r>
        <w:rPr>
          <w:sz w:val="36"/>
        </w:rPr>
        <w:t>年</w:t>
      </w:r>
      <w:r>
        <w:rPr>
          <w:rFonts w:hint="eastAsia"/>
          <w:sz w:val="36"/>
        </w:rPr>
        <w:t>6</w:t>
      </w:r>
      <w:r>
        <w:rPr>
          <w:sz w:val="36"/>
        </w:rPr>
        <w:t>月</w:t>
      </w:r>
    </w:p>
    <w:p>
      <w:pPr>
        <w:widowControl/>
        <w:jc w:val="left"/>
        <w:rPr>
          <w:rFonts w:ascii="Times New Roman" w:hAnsi="Times New Roman" w:eastAsia="宋体" w:cs="Times New Roman"/>
          <w:b/>
          <w:bCs/>
          <w:sz w:val="44"/>
          <w:szCs w:val="20"/>
        </w:rPr>
      </w:pPr>
      <w:r>
        <w:rPr>
          <w:rFonts w:ascii="Times New Roman" w:hAnsi="Times New Roman" w:eastAsia="宋体" w:cs="Times New Roman"/>
          <w:b/>
          <w:bCs/>
          <w:sz w:val="44"/>
          <w:szCs w:val="20"/>
        </w:rPr>
        <w:br w:type="page"/>
      </w:r>
    </w:p>
    <w:p>
      <w:pPr>
        <w:spacing w:line="740" w:lineRule="exact"/>
        <w:jc w:val="center"/>
        <w:rPr>
          <w:rFonts w:ascii="仿宋" w:hAnsi="仿宋" w:eastAsia="仿宋" w:cs="仿宋"/>
          <w:b/>
          <w:kern w:val="0"/>
          <w:sz w:val="44"/>
          <w:szCs w:val="44"/>
        </w:rPr>
      </w:pPr>
      <w:r>
        <w:rPr>
          <w:rFonts w:ascii="仿宋" w:hAnsi="仿宋" w:eastAsia="仿宋" w:cs="仿宋"/>
          <w:b/>
          <w:bCs w:val="0"/>
          <w:kern w:val="0"/>
          <w:sz w:val="44"/>
          <w:szCs w:val="44"/>
        </w:rPr>
        <w:t>湛江市地方标准</w:t>
      </w:r>
      <w:r>
        <w:rPr>
          <w:rFonts w:hint="eastAsia" w:ascii="仿宋" w:hAnsi="仿宋" w:eastAsia="仿宋" w:cs="仿宋"/>
          <w:b/>
          <w:kern w:val="0"/>
          <w:sz w:val="44"/>
          <w:szCs w:val="44"/>
        </w:rPr>
        <w:t>《卵形鲳鲹深远海陆海接力大规格鱼种培育技术规程（征求意见稿）》</w:t>
      </w:r>
      <w:r>
        <w:rPr>
          <w:rFonts w:hint="eastAsia" w:ascii="仿宋" w:hAnsi="仿宋" w:eastAsia="仿宋" w:cs="仿宋"/>
          <w:b/>
          <w:kern w:val="0"/>
          <w:sz w:val="44"/>
          <w:szCs w:val="44"/>
          <w:lang w:val="en-US" w:eastAsia="zh-CN"/>
        </w:rPr>
        <w:t>编制</w:t>
      </w:r>
      <w:r>
        <w:rPr>
          <w:rFonts w:ascii="仿宋" w:hAnsi="仿宋" w:eastAsia="仿宋" w:cs="仿宋"/>
          <w:b/>
          <w:kern w:val="0"/>
          <w:sz w:val="44"/>
          <w:szCs w:val="44"/>
        </w:rPr>
        <w:t>说明</w:t>
      </w:r>
    </w:p>
    <w:p>
      <w:pPr>
        <w:pStyle w:val="2"/>
      </w:pPr>
      <w:r>
        <w:t>一、工作简况，包括任务来源、制定背景、起草过程等</w:t>
      </w:r>
    </w:p>
    <w:p>
      <w:pPr>
        <w:pStyle w:val="7"/>
        <w:numPr>
          <w:ilvl w:val="0"/>
          <w:numId w:val="3"/>
        </w:numPr>
        <w:rPr>
          <w:rStyle w:val="12"/>
          <w:rFonts w:ascii="黑体" w:hAnsi="黑体" w:cs="黑体"/>
          <w:b w:val="0"/>
          <w:bCs w:val="0"/>
        </w:rPr>
      </w:pPr>
      <w:r>
        <w:rPr>
          <w:rStyle w:val="12"/>
          <w:rFonts w:hint="eastAsia" w:ascii="黑体" w:hAnsi="黑体" w:cs="黑体"/>
          <w:b w:val="0"/>
          <w:bCs w:val="0"/>
        </w:rPr>
        <w:t>任务来源</w:t>
      </w:r>
    </w:p>
    <w:p>
      <w:pPr>
        <w:spacing w:line="360" w:lineRule="auto"/>
        <w:ind w:firstLine="480" w:firstLineChars="200"/>
        <w:rPr>
          <w:rFonts w:ascii="Times New Roman" w:hAnsi="Times New Roman" w:eastAsia="宋体" w:cs="Times New Roman"/>
          <w:sz w:val="24"/>
          <w:szCs w:val="32"/>
        </w:rPr>
      </w:pPr>
      <w:r>
        <w:rPr>
          <w:rFonts w:hint="eastAsia" w:ascii="Times New Roman" w:hAnsi="Times New Roman" w:eastAsia="宋体" w:cs="Times New Roman"/>
          <w:sz w:val="24"/>
          <w:szCs w:val="32"/>
        </w:rPr>
        <w:t>《卵形鲳鲹深远海陆海接力大规格鱼种培育技术规程》是根据《湛江市市场监督管理局关于批准下达 2024 年第二批湛江市地方标准制修订计划项目的通知》（湛市监计〔2024〕227 号）制定的，项目序号为 2，由湛江市市场监督管理局提出并归口。该计划项目 2024 年立项，由南方海洋科学与工程广东省实验室（湛江）主导，与广东省湛江市质量技术监督标准与编码所、广东恒兴集团有限公司</w:t>
      </w:r>
      <w:r>
        <w:rPr>
          <w:rFonts w:hint="eastAsia" w:ascii="Times New Roman" w:hAnsi="Times New Roman" w:eastAsia="宋体" w:cs="Times New Roman"/>
          <w:sz w:val="24"/>
          <w:szCs w:val="32"/>
          <w:lang w:val="en-US" w:eastAsia="zh-CN"/>
        </w:rPr>
        <w:t>共同制定</w:t>
      </w:r>
      <w:r>
        <w:rPr>
          <w:rFonts w:hint="eastAsia" w:ascii="Times New Roman" w:hAnsi="Times New Roman" w:eastAsia="宋体" w:cs="Times New Roman"/>
          <w:sz w:val="24"/>
          <w:szCs w:val="32"/>
        </w:rPr>
        <w:t>，项目周期为 2 年，计划完成时间为 2026 年。</w:t>
      </w:r>
    </w:p>
    <w:p>
      <w:pPr>
        <w:pStyle w:val="7"/>
        <w:numPr>
          <w:ilvl w:val="0"/>
          <w:numId w:val="3"/>
        </w:numPr>
        <w:rPr>
          <w:rStyle w:val="12"/>
          <w:rFonts w:ascii="黑体" w:hAnsi="黑体" w:cs="黑体"/>
          <w:b w:val="0"/>
          <w:bCs w:val="0"/>
        </w:rPr>
      </w:pPr>
      <w:r>
        <w:rPr>
          <w:rStyle w:val="12"/>
          <w:rFonts w:hint="eastAsia" w:ascii="黑体" w:hAnsi="黑体" w:cs="黑体"/>
          <w:b w:val="0"/>
          <w:bCs w:val="0"/>
        </w:rPr>
        <w:t>制定背景</w:t>
      </w:r>
    </w:p>
    <w:p>
      <w:pPr>
        <w:spacing w:line="360" w:lineRule="auto"/>
        <w:ind w:firstLine="480" w:firstLineChars="200"/>
        <w:jc w:val="left"/>
        <w:rPr>
          <w:rFonts w:ascii="Times New Roman" w:hAnsi="Times New Roman" w:eastAsia="宋体" w:cs="Times New Roman"/>
          <w:sz w:val="24"/>
          <w:szCs w:val="32"/>
        </w:rPr>
      </w:pPr>
      <w:r>
        <w:rPr>
          <w:rFonts w:ascii="Times New Roman" w:hAnsi="Times New Roman" w:eastAsia="宋体" w:cs="Times New Roman"/>
          <w:sz w:val="24"/>
          <w:szCs w:val="32"/>
        </w:rPr>
        <w:t>卵形鲳鲹（Trachinotus ovatus）属鲈形目</w:t>
      </w:r>
      <w:r>
        <w:rPr>
          <w:rFonts w:hint="eastAsia" w:ascii="Times New Roman" w:hAnsi="Times New Roman" w:eastAsia="宋体" w:cs="Times New Roman"/>
          <w:sz w:val="24"/>
          <w:szCs w:val="32"/>
        </w:rPr>
        <w:t>（</w:t>
      </w:r>
      <w:r>
        <w:rPr>
          <w:rFonts w:ascii="Times New Roman" w:hAnsi="Times New Roman" w:eastAsia="宋体" w:cs="Times New Roman"/>
          <w:sz w:val="24"/>
          <w:szCs w:val="32"/>
        </w:rPr>
        <w:t>Percifonnes</w:t>
      </w:r>
      <w:r>
        <w:rPr>
          <w:rFonts w:hint="eastAsia" w:ascii="Times New Roman" w:hAnsi="Times New Roman" w:eastAsia="宋体" w:cs="Times New Roman"/>
          <w:sz w:val="24"/>
          <w:szCs w:val="32"/>
        </w:rPr>
        <w:t>）</w:t>
      </w:r>
      <w:r>
        <w:rPr>
          <w:rFonts w:ascii="Times New Roman" w:hAnsi="Times New Roman" w:eastAsia="宋体" w:cs="Times New Roman"/>
          <w:sz w:val="24"/>
          <w:szCs w:val="32"/>
        </w:rPr>
        <w:t>、鲹科</w:t>
      </w:r>
      <w:r>
        <w:rPr>
          <w:rFonts w:hint="eastAsia" w:ascii="Times New Roman" w:hAnsi="Times New Roman" w:eastAsia="宋体" w:cs="Times New Roman"/>
          <w:sz w:val="24"/>
          <w:szCs w:val="32"/>
        </w:rPr>
        <w:t>（</w:t>
      </w:r>
      <w:r>
        <w:rPr>
          <w:rFonts w:ascii="Times New Roman" w:hAnsi="Times New Roman" w:eastAsia="宋体" w:cs="Times New Roman"/>
          <w:sz w:val="24"/>
          <w:szCs w:val="32"/>
        </w:rPr>
        <w:t>Carangidae</w:t>
      </w:r>
      <w:r>
        <w:rPr>
          <w:rFonts w:hint="eastAsia" w:ascii="Times New Roman" w:hAnsi="Times New Roman" w:eastAsia="宋体" w:cs="Times New Roman"/>
          <w:sz w:val="24"/>
          <w:szCs w:val="32"/>
        </w:rPr>
        <w:t>）</w:t>
      </w:r>
      <w:r>
        <w:rPr>
          <w:rFonts w:ascii="Times New Roman" w:hAnsi="Times New Roman" w:eastAsia="宋体" w:cs="Times New Roman"/>
          <w:sz w:val="24"/>
          <w:szCs w:val="32"/>
        </w:rPr>
        <w:t>、</w:t>
      </w:r>
    </w:p>
    <w:p>
      <w:pPr>
        <w:spacing w:line="360" w:lineRule="auto"/>
        <w:rPr>
          <w:rFonts w:ascii="Times New Roman" w:hAnsi="Times New Roman" w:eastAsia="宋体" w:cs="宋体"/>
          <w:color w:val="000000"/>
          <w:sz w:val="24"/>
        </w:rPr>
      </w:pPr>
      <w:r>
        <w:rPr>
          <w:rFonts w:ascii="Times New Roman" w:hAnsi="Times New Roman" w:eastAsia="宋体" w:cs="Times New Roman"/>
          <w:sz w:val="24"/>
          <w:szCs w:val="32"/>
        </w:rPr>
        <w:t>鲳鲹属</w:t>
      </w:r>
      <w:r>
        <w:rPr>
          <w:rFonts w:hint="eastAsia" w:ascii="Times New Roman" w:hAnsi="Times New Roman" w:eastAsia="宋体" w:cs="Times New Roman"/>
          <w:sz w:val="24"/>
          <w:szCs w:val="32"/>
        </w:rPr>
        <w:t>（</w:t>
      </w:r>
      <w:r>
        <w:rPr>
          <w:rFonts w:ascii="Times New Roman" w:hAnsi="Times New Roman" w:eastAsia="宋体" w:cs="Times New Roman"/>
          <w:i/>
          <w:iCs/>
          <w:sz w:val="24"/>
          <w:szCs w:val="32"/>
        </w:rPr>
        <w:t>Trachinotus</w:t>
      </w:r>
      <w:r>
        <w:rPr>
          <w:rFonts w:hint="eastAsia" w:ascii="Times New Roman" w:hAnsi="Times New Roman" w:eastAsia="宋体" w:cs="Times New Roman"/>
          <w:i/>
          <w:iCs/>
          <w:sz w:val="24"/>
          <w:szCs w:val="32"/>
        </w:rPr>
        <w:t>）</w:t>
      </w:r>
      <w:r>
        <w:rPr>
          <w:rFonts w:ascii="Times New Roman" w:hAnsi="Times New Roman" w:eastAsia="宋体" w:cs="Times New Roman"/>
          <w:sz w:val="24"/>
          <w:szCs w:val="32"/>
        </w:rPr>
        <w:t>，俗称金鲳，适温范围广、生长速度快、肉质鲜美</w:t>
      </w:r>
      <w:r>
        <w:rPr>
          <w:rFonts w:hint="eastAsia" w:ascii="Times New Roman" w:hAnsi="Times New Roman" w:eastAsia="宋体" w:cs="Times New Roman"/>
          <w:sz w:val="24"/>
          <w:szCs w:val="32"/>
        </w:rPr>
        <w:t>，是</w:t>
      </w:r>
      <w:r>
        <w:rPr>
          <w:rFonts w:ascii="Times New Roman" w:hAnsi="Times New Roman" w:eastAsia="宋体" w:cs="Times New Roman"/>
          <w:sz w:val="24"/>
          <w:szCs w:val="32"/>
        </w:rPr>
        <w:t>我国南方沿海常见的经济鱼类(王岩等，2</w:t>
      </w:r>
      <w:r>
        <w:rPr>
          <w:rFonts w:hint="eastAsia" w:ascii="Times New Roman" w:hAnsi="Times New Roman" w:eastAsia="宋体" w:cs="Times New Roman"/>
          <w:sz w:val="24"/>
          <w:szCs w:val="32"/>
        </w:rPr>
        <w:t>024</w:t>
      </w:r>
      <w:r>
        <w:rPr>
          <w:rFonts w:ascii="Times New Roman" w:hAnsi="Times New Roman" w:eastAsia="宋体" w:cs="Times New Roman"/>
          <w:sz w:val="24"/>
          <w:szCs w:val="32"/>
        </w:rPr>
        <w:t>)。</w:t>
      </w:r>
      <w:r>
        <w:rPr>
          <w:rFonts w:hint="eastAsia" w:ascii="Times New Roman" w:hAnsi="Times New Roman" w:eastAsia="宋体" w:cs="Times New Roman"/>
          <w:sz w:val="24"/>
          <w:szCs w:val="32"/>
        </w:rPr>
        <w:t>2023 年全国卵形鲳鲹的总产量 29.23 万吨，已超越大黄鱼成为海水养殖鱼类中产量最高的品种（2024中国渔业统计年鉴）。广东省2023年金鲳鱼产量15.48万吨，占全国总产量53%。湛江市2023年产量金鲳鱼约为9.24万吨，共有湛江湾、东海岛、西连、流沙、草潭 5 个深水网箱金鲳鱼养殖园区，投入使用深水网箱 3563 个，占全省 70％。湛江已形成涵盖亲本、种苗、饲料、养殖、销售和加工的“百亿级”全产业链，直接从业人口约 10 万人，间接带动从业人口近 100 万人。</w:t>
      </w:r>
      <w:r>
        <w:rPr>
          <w:rFonts w:hint="eastAsia" w:ascii="Times New Roman" w:hAnsi="Times New Roman" w:eastAsia="宋体" w:cs="宋体"/>
          <w:color w:val="000000"/>
          <w:sz w:val="24"/>
        </w:rPr>
        <w:t>卵形鲳鲹是湛江市主要经济鱼类之一，但在其种苗培育环节还存在以下问题：1、苗种来源不一，质量不稳定，导致培育苗种规格参差不齐；2、近浅海区域养殖环境恶化，标粗过程病害频发，导致存活率低下；3、陆基培育后的小规格鱼种抗病和抗风浪能力弱，直接放在深海网箱养殖，导致存活率低、生长速度慢、上市时间晚，传统鱼种培育方法已不能满足大规模生产的需求。</w:t>
      </w:r>
    </w:p>
    <w:p>
      <w:pPr>
        <w:spacing w:line="360" w:lineRule="auto"/>
        <w:ind w:firstLine="480" w:firstLineChars="200"/>
        <w:rPr>
          <w:rFonts w:ascii="Times New Roman" w:hAnsi="Times New Roman" w:eastAsia="宋体" w:cs="宋体"/>
          <w:color w:val="000000"/>
          <w:sz w:val="24"/>
        </w:rPr>
      </w:pPr>
      <w:r>
        <w:rPr>
          <w:rFonts w:hint="eastAsia" w:ascii="Times New Roman" w:hAnsi="Times New Roman" w:eastAsia="宋体" w:cs="宋体"/>
          <w:color w:val="000000"/>
          <w:sz w:val="24"/>
        </w:rPr>
        <w:t>项目组一直致力于卵形鲳鲹大规格鱼种培育技术的研究，同时借鉴湛江市养殖企业相关经验，不断在原有技术标准上进一步改善优化，形成深远海陆海接力大规格鱼种培育方法：在陆基池塘将小规格鱼苗（0.4 g/尾～0.6 g/尾），标粗至中规格鱼种（8.0 g/尾～10.0 g/尾 ），后转运至重力式网箱标粗至大规格鱼种（约50.0 g/尾～125.0 g/尾 ），再分疏至附近重力式网箱或其他设施养成。此种方式有以下优点：在陆基可培养大量基础饵料，投喂全价配合饲料，满足鱼苗各阶段生长需求，提升鱼种质量；陆基标粗可严控从用水处理至养殖整个生产流程，减少病害风险，提高鱼种成活率；在深远海网箱进行标粗，避开近海富营养化环境，病害风险低；标粗环境与养成环境差异性小，鱼种可提早适应海上环境；标粗后分疏至附近网箱，缩短鱼种运输距离，减少鱼种损伤与损耗，提高成活率；标粗后的大规格鱼种，生长快，缩短养殖周期，降低病害和台风风险，提升经济效益。项目组利用此技术在2023年至2024年间共标粗大规格鱼种数量约2426万尾，成活率在85-90%之间。项目组成员参与制定了《卵形鲳鲹人工繁育技术规程》（DB4408/T 13—2022）、《卵形鲳鲹 鱼苗和鱼种》（DB4408/T 14—2022）、《卵形鲳鲹养殖技术规程 鱼苗和鱼种培育》（DB4408/T 15—2022）、《卵形鲳鲹养殖技术规程 深水网箱养殖》（DB4408/T 16—2022）等相关标准。</w:t>
      </w:r>
    </w:p>
    <w:p>
      <w:pPr>
        <w:spacing w:line="360" w:lineRule="auto"/>
        <w:ind w:firstLine="480" w:firstLineChars="200"/>
        <w:rPr>
          <w:rFonts w:ascii="Times New Roman" w:hAnsi="Times New Roman" w:eastAsia="宋体" w:cs="宋体"/>
          <w:color w:val="000000"/>
          <w:sz w:val="24"/>
        </w:rPr>
      </w:pPr>
      <w:r>
        <w:rPr>
          <w:rFonts w:hint="eastAsia" w:ascii="Times New Roman" w:hAnsi="Times New Roman" w:eastAsia="宋体" w:cs="宋体"/>
          <w:color w:val="000000"/>
          <w:sz w:val="24"/>
        </w:rPr>
        <w:t>目前国内已发布的有关卵形鲳鲹大规格鱼种培育的标准仅有海南省发布的《卵形鲳鲹鱼种大型网箱阶梯式中间培育技术规范》（DB46/T 430—2017），此标准仅是对海上网箱培育鱼种进行技术规范；陆海接力是承接陆基与深远海养殖关键环节，陆海接力苗种培育可以极大提高培育苗种质量。湛江市是金鲳鱼养殖生产主要地区，每年需要从海南引进大量鱼苗进行标粗养殖，鱼苗标粗质量与成活率直接影响后续养殖效果，为此亟须将此陆海接力大规格鱼种培育方法标准化，形成规范化操作流程，并推广应用，促进湛江市卵形鲳鲹产业发展。</w:t>
      </w:r>
    </w:p>
    <w:p>
      <w:pPr>
        <w:pStyle w:val="7"/>
        <w:numPr>
          <w:ilvl w:val="0"/>
          <w:numId w:val="3"/>
        </w:numPr>
        <w:rPr>
          <w:rStyle w:val="12"/>
          <w:rFonts w:ascii="黑体" w:hAnsi="黑体" w:cs="黑体"/>
          <w:b w:val="0"/>
          <w:bCs w:val="0"/>
        </w:rPr>
      </w:pPr>
      <w:r>
        <w:rPr>
          <w:rStyle w:val="12"/>
          <w:rFonts w:hint="eastAsia" w:ascii="黑体" w:hAnsi="黑体" w:cs="黑体"/>
          <w:b w:val="0"/>
          <w:bCs w:val="0"/>
        </w:rPr>
        <w:t>起草过程</w:t>
      </w:r>
    </w:p>
    <w:p>
      <w:pPr>
        <w:pStyle w:val="7"/>
        <w:numPr>
          <w:ilvl w:val="1"/>
          <w:numId w:val="3"/>
        </w:numPr>
        <w:rPr>
          <w:rStyle w:val="12"/>
          <w:rFonts w:ascii="黑体" w:hAnsi="黑体" w:cs="黑体"/>
          <w:b w:val="0"/>
          <w:bCs w:val="0"/>
        </w:rPr>
      </w:pPr>
      <w:r>
        <w:rPr>
          <w:rStyle w:val="12"/>
          <w:rFonts w:hint="eastAsia" w:ascii="黑体" w:hAnsi="黑体" w:cs="黑体"/>
          <w:b w:val="0"/>
          <w:bCs w:val="0"/>
        </w:rPr>
        <w:t>立项前的准备工作</w:t>
      </w:r>
    </w:p>
    <w:p>
      <w:pPr>
        <w:spacing w:line="360" w:lineRule="auto"/>
        <w:ind w:firstLine="480" w:firstLineChars="200"/>
        <w:rPr>
          <w:rFonts w:ascii="Times New Roman" w:hAnsi="Times New Roman" w:eastAsia="宋体" w:cs="宋体"/>
          <w:color w:val="000000"/>
          <w:sz w:val="24"/>
        </w:rPr>
      </w:pPr>
      <w:r>
        <w:rPr>
          <w:rFonts w:hint="eastAsia" w:ascii="Times New Roman" w:hAnsi="Times New Roman" w:eastAsia="宋体" w:cs="宋体"/>
          <w:color w:val="000000"/>
          <w:sz w:val="24"/>
        </w:rPr>
        <w:t>项目组一直致力于卵形鲳鲹苗种繁育技术、鱼苗标粗与养殖技术的研究。在2023年至2025年间共标粗大规格鱼种数量约4671万尾，成活率在85-90%，并将其推广应用于湛江及周边养殖区域，效果良好。</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项目组主要成员参加</w:t>
      </w:r>
      <w:r>
        <w:rPr>
          <w:rFonts w:hint="eastAsia" w:ascii="Times New Roman" w:hAnsi="Times New Roman" w:eastAsia="宋体" w:cs="宋体"/>
          <w:color w:val="000000"/>
          <w:sz w:val="24"/>
        </w:rPr>
        <w:t>由</w:t>
      </w:r>
      <w:r>
        <w:rPr>
          <w:rFonts w:ascii="Times New Roman" w:hAnsi="Times New Roman" w:eastAsia="宋体" w:cs="宋体"/>
          <w:color w:val="000000"/>
          <w:sz w:val="24"/>
        </w:rPr>
        <w:t>农业农村部农产品质量安全中心</w:t>
      </w:r>
      <w:r>
        <w:rPr>
          <w:rFonts w:hint="eastAsia" w:ascii="Times New Roman" w:hAnsi="Times New Roman" w:eastAsia="宋体" w:cs="宋体"/>
          <w:color w:val="000000"/>
          <w:sz w:val="24"/>
        </w:rPr>
        <w:t>所举办的</w:t>
      </w:r>
      <w:r>
        <w:rPr>
          <w:rFonts w:ascii="Times New Roman" w:hAnsi="Times New Roman" w:eastAsia="宋体" w:cs="宋体"/>
          <w:color w:val="000000"/>
          <w:sz w:val="24"/>
        </w:rPr>
        <w:t>标准起草培训班</w:t>
      </w:r>
      <w:r>
        <w:rPr>
          <w:rFonts w:hint="eastAsia" w:ascii="Times New Roman" w:hAnsi="Times New Roman" w:eastAsia="宋体" w:cs="宋体"/>
          <w:color w:val="000000"/>
          <w:sz w:val="24"/>
        </w:rPr>
        <w:t>，并获得培训合格证书</w:t>
      </w:r>
      <w:r>
        <w:rPr>
          <w:rFonts w:ascii="Times New Roman" w:hAnsi="Times New Roman" w:eastAsia="宋体" w:cs="宋体"/>
          <w:color w:val="000000"/>
          <w:sz w:val="24"/>
        </w:rPr>
        <w:t>，具备农业标准化知识</w:t>
      </w:r>
      <w:r>
        <w:rPr>
          <w:rFonts w:hint="eastAsia" w:ascii="Times New Roman" w:hAnsi="Times New Roman" w:eastAsia="宋体" w:cs="宋体"/>
          <w:color w:val="000000"/>
          <w:sz w:val="24"/>
        </w:rPr>
        <w:t>；</w:t>
      </w:r>
      <w:r>
        <w:rPr>
          <w:rFonts w:ascii="Times New Roman" w:hAnsi="Times New Roman" w:eastAsia="宋体" w:cs="宋体"/>
          <w:color w:val="000000"/>
          <w:sz w:val="24"/>
        </w:rPr>
        <w:t>参与制定了《卵形鲳鲹人工繁育技术规程》（DB4408/T 13—2022）、《卵形鲳鲹 鱼苗和鱼种》（DB4408/T 14—2022）、《卵形鲳鲹养殖技术规程 鱼苗和鱼种培育》（DB4408/T 15—2022）、《卵形鲳鲹养殖技术规程 深水网箱养殖》（DB4408/T 16—2022），熟悉编制要求。项目申报期间，组织相关合作单位，成立标准申报项目组</w:t>
      </w:r>
      <w:r>
        <w:rPr>
          <w:rFonts w:hint="eastAsia" w:ascii="Times New Roman" w:hAnsi="Times New Roman" w:eastAsia="宋体" w:cs="宋体"/>
          <w:color w:val="000000"/>
          <w:sz w:val="24"/>
        </w:rPr>
        <w:t>，</w:t>
      </w:r>
      <w:r>
        <w:rPr>
          <w:rFonts w:ascii="Times New Roman" w:hAnsi="Times New Roman" w:eastAsia="宋体" w:cs="宋体"/>
          <w:color w:val="000000"/>
          <w:sz w:val="24"/>
        </w:rPr>
        <w:t>及时开会协调、相互配合，按各自优势分配任务、查阅文献、采集样品、收集大量</w:t>
      </w:r>
      <w:r>
        <w:rPr>
          <w:rFonts w:hint="eastAsia" w:ascii="Times New Roman" w:hAnsi="Times New Roman" w:eastAsia="宋体" w:cs="宋体"/>
          <w:color w:val="000000"/>
          <w:sz w:val="24"/>
        </w:rPr>
        <w:t>大规格鱼种培育</w:t>
      </w:r>
      <w:r>
        <w:rPr>
          <w:rFonts w:ascii="Times New Roman" w:hAnsi="Times New Roman" w:eastAsia="宋体" w:cs="宋体"/>
          <w:color w:val="000000"/>
          <w:sz w:val="24"/>
        </w:rPr>
        <w:t>方面资料，完成了《</w:t>
      </w:r>
      <w:r>
        <w:rPr>
          <w:rFonts w:hint="eastAsia" w:ascii="Times New Roman" w:hAnsi="Times New Roman" w:eastAsia="宋体" w:cs="宋体"/>
          <w:color w:val="000000"/>
          <w:sz w:val="24"/>
        </w:rPr>
        <w:t>卵形鲳鲹深远海陆海接力大规格鱼种培育技术规程》</w:t>
      </w:r>
      <w:r>
        <w:rPr>
          <w:rFonts w:ascii="Times New Roman" w:hAnsi="Times New Roman" w:eastAsia="宋体" w:cs="宋体"/>
          <w:color w:val="000000"/>
          <w:sz w:val="24"/>
        </w:rPr>
        <w:t>标准草案。</w:t>
      </w:r>
    </w:p>
    <w:p>
      <w:pPr>
        <w:pStyle w:val="7"/>
        <w:numPr>
          <w:ilvl w:val="1"/>
          <w:numId w:val="3"/>
        </w:numPr>
        <w:rPr>
          <w:rStyle w:val="12"/>
          <w:rFonts w:ascii="黑体" w:hAnsi="黑体" w:cs="黑体"/>
          <w:b w:val="0"/>
          <w:bCs w:val="0"/>
        </w:rPr>
      </w:pPr>
      <w:r>
        <w:rPr>
          <w:rStyle w:val="12"/>
          <w:rFonts w:hint="eastAsia" w:ascii="黑体" w:hAnsi="黑体" w:cs="黑体"/>
          <w:b w:val="0"/>
          <w:bCs w:val="0"/>
        </w:rPr>
        <w:t>标准起草阶段</w:t>
      </w:r>
    </w:p>
    <w:p>
      <w:pPr>
        <w:spacing w:line="360" w:lineRule="auto"/>
        <w:ind w:firstLine="480" w:firstLineChars="200"/>
        <w:jc w:val="left"/>
        <w:rPr>
          <w:rFonts w:ascii="Times New Roman" w:hAnsi="Times New Roman" w:eastAsia="宋体" w:cs="宋体"/>
          <w:color w:val="000000"/>
          <w:sz w:val="24"/>
        </w:rPr>
      </w:pPr>
      <w:r>
        <w:rPr>
          <w:rFonts w:ascii="Times New Roman" w:hAnsi="Times New Roman" w:eastAsia="宋体" w:cs="宋体"/>
          <w:color w:val="000000"/>
          <w:sz w:val="24"/>
        </w:rPr>
        <w:t>（1）项目任务下达后，为了高质量地完成本标准的起草工作，联合目前我</w:t>
      </w:r>
    </w:p>
    <w:p>
      <w:pPr>
        <w:spacing w:line="360" w:lineRule="auto"/>
        <w:rPr>
          <w:rFonts w:ascii="Times New Roman" w:hAnsi="Times New Roman" w:eastAsia="宋体" w:cs="宋体"/>
          <w:color w:val="000000"/>
          <w:sz w:val="24"/>
        </w:rPr>
      </w:pPr>
      <w:r>
        <w:rPr>
          <w:rFonts w:ascii="Times New Roman" w:hAnsi="Times New Roman" w:eastAsia="宋体" w:cs="宋体"/>
          <w:color w:val="000000"/>
          <w:sz w:val="24"/>
        </w:rPr>
        <w:t>国从事卵形鲳鲹苗种</w:t>
      </w:r>
      <w:r>
        <w:rPr>
          <w:rFonts w:hint="eastAsia" w:ascii="Times New Roman" w:hAnsi="Times New Roman" w:eastAsia="宋体" w:cs="宋体"/>
          <w:color w:val="000000"/>
          <w:sz w:val="24"/>
        </w:rPr>
        <w:t>标粗</w:t>
      </w:r>
      <w:r>
        <w:rPr>
          <w:rFonts w:ascii="Times New Roman" w:hAnsi="Times New Roman" w:eastAsia="宋体" w:cs="宋体"/>
          <w:color w:val="000000"/>
          <w:sz w:val="24"/>
        </w:rPr>
        <w:t>相关领域的企事业单位，成立了由南方海洋科学与工程</w:t>
      </w:r>
    </w:p>
    <w:p>
      <w:pPr>
        <w:spacing w:line="360" w:lineRule="auto"/>
        <w:jc w:val="left"/>
        <w:rPr>
          <w:rFonts w:ascii="Times New Roman" w:hAnsi="Times New Roman" w:eastAsia="宋体" w:cs="宋体"/>
          <w:color w:val="000000"/>
          <w:sz w:val="24"/>
        </w:rPr>
      </w:pPr>
      <w:r>
        <w:rPr>
          <w:rFonts w:ascii="Times New Roman" w:hAnsi="Times New Roman" w:eastAsia="宋体" w:cs="宋体"/>
          <w:color w:val="000000"/>
          <w:sz w:val="24"/>
        </w:rPr>
        <w:t>广东省实验室（湛江）承担，广东省湛江市质量技术监督标准与编码所、广东恒兴集团有限公司等协作的标准起草小组。项目组进行任务分工，2025 年 1 月制定工作计划。</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（2）2025 年 2 月学习有关政策法规，广泛收集相关标准和科研成果。项目组主要成员参加了由全国水产标准化技术委员会举办的水产标准化综合知识培训，进一步学习强化了新版《标准化工作导则第 1 部分：标准化文件的结构和起草规则》(GB/T 1.1—2020)及国家和农业农村部有关质量管理规定、产业政策。</w:t>
      </w:r>
    </w:p>
    <w:p>
      <w:pPr>
        <w:spacing w:line="360" w:lineRule="auto"/>
        <w:ind w:firstLine="480" w:firstLineChars="200"/>
        <w:jc w:val="left"/>
        <w:rPr>
          <w:rFonts w:ascii="Times New Roman" w:hAnsi="Times New Roman" w:eastAsia="宋体" w:cs="宋体"/>
          <w:color w:val="000000"/>
          <w:sz w:val="24"/>
        </w:rPr>
      </w:pPr>
      <w:r>
        <w:rPr>
          <w:rFonts w:ascii="Times New Roman" w:hAnsi="Times New Roman" w:eastAsia="宋体" w:cs="宋体"/>
          <w:color w:val="000000"/>
          <w:sz w:val="24"/>
        </w:rPr>
        <w:t>（3）项目组成员开会协调、相互配合、按各自优势分配任务，收集和查阅</w:t>
      </w:r>
    </w:p>
    <w:p>
      <w:pPr>
        <w:spacing w:line="360" w:lineRule="auto"/>
        <w:jc w:val="left"/>
        <w:rPr>
          <w:rFonts w:ascii="Times New Roman" w:hAnsi="Times New Roman" w:eastAsia="宋体" w:cs="宋体"/>
          <w:color w:val="000000"/>
          <w:sz w:val="24"/>
        </w:rPr>
      </w:pPr>
      <w:r>
        <w:rPr>
          <w:rFonts w:ascii="Times New Roman" w:hAnsi="Times New Roman" w:eastAsia="宋体" w:cs="宋体"/>
          <w:color w:val="000000"/>
          <w:sz w:val="24"/>
        </w:rPr>
        <w:t>了大量卵形鲳鲹苗种</w:t>
      </w:r>
      <w:r>
        <w:rPr>
          <w:rFonts w:hint="eastAsia" w:ascii="Times New Roman" w:hAnsi="Times New Roman" w:eastAsia="宋体" w:cs="宋体"/>
          <w:color w:val="000000"/>
          <w:sz w:val="24"/>
        </w:rPr>
        <w:t>标粗</w:t>
      </w:r>
      <w:r>
        <w:rPr>
          <w:rFonts w:ascii="Times New Roman" w:hAnsi="Times New Roman" w:eastAsia="宋体" w:cs="宋体"/>
          <w:color w:val="000000"/>
          <w:sz w:val="24"/>
        </w:rPr>
        <w:t>方面资料；结合项目组自身苗种</w:t>
      </w:r>
      <w:r>
        <w:rPr>
          <w:rFonts w:hint="eastAsia" w:ascii="Times New Roman" w:hAnsi="Times New Roman" w:eastAsia="宋体" w:cs="宋体"/>
          <w:color w:val="000000"/>
          <w:sz w:val="24"/>
        </w:rPr>
        <w:t>标粗</w:t>
      </w:r>
      <w:r>
        <w:rPr>
          <w:rFonts w:ascii="Times New Roman" w:hAnsi="Times New Roman" w:eastAsia="宋体" w:cs="宋体"/>
          <w:color w:val="000000"/>
          <w:sz w:val="24"/>
        </w:rPr>
        <w:t>的生产数据资料和</w:t>
      </w:r>
    </w:p>
    <w:p>
      <w:pPr>
        <w:spacing w:line="360" w:lineRule="auto"/>
        <w:jc w:val="left"/>
        <w:rPr>
          <w:rFonts w:ascii="Times New Roman" w:hAnsi="Times New Roman" w:eastAsia="宋体" w:cs="宋体"/>
          <w:color w:val="000000"/>
          <w:sz w:val="24"/>
        </w:rPr>
      </w:pPr>
      <w:r>
        <w:rPr>
          <w:rFonts w:ascii="Times New Roman" w:hAnsi="Times New Roman" w:eastAsia="宋体" w:cs="宋体"/>
          <w:color w:val="000000"/>
          <w:sz w:val="24"/>
        </w:rPr>
        <w:t>科研观测数据，且充分征求和汇总了科研及养殖企业等相关单位人员的意见和建</w:t>
      </w:r>
    </w:p>
    <w:p>
      <w:pPr>
        <w:spacing w:line="360" w:lineRule="auto"/>
        <w:rPr>
          <w:rFonts w:ascii="Times New Roman" w:hAnsi="Times New Roman" w:eastAsia="宋体" w:cs="宋体"/>
          <w:color w:val="000000"/>
          <w:sz w:val="24"/>
        </w:rPr>
      </w:pPr>
      <w:r>
        <w:rPr>
          <w:rFonts w:ascii="Times New Roman" w:hAnsi="Times New Roman" w:eastAsia="宋体" w:cs="宋体"/>
          <w:color w:val="000000"/>
          <w:sz w:val="24"/>
        </w:rPr>
        <w:t xml:space="preserve">议后，确定了标准的主要技术内容和技术指标，于 2025 年 </w:t>
      </w:r>
      <w:r>
        <w:rPr>
          <w:rFonts w:hint="eastAsia" w:ascii="Times New Roman" w:hAnsi="Times New Roman" w:eastAsia="宋体" w:cs="宋体"/>
          <w:color w:val="000000"/>
          <w:sz w:val="24"/>
        </w:rPr>
        <w:t>3-5</w:t>
      </w:r>
      <w:r>
        <w:rPr>
          <w:rFonts w:ascii="Times New Roman" w:hAnsi="Times New Roman" w:eastAsia="宋体" w:cs="宋体"/>
          <w:color w:val="000000"/>
          <w:sz w:val="24"/>
        </w:rPr>
        <w:t>月形成标准</w:t>
      </w:r>
      <w:r>
        <w:rPr>
          <w:rFonts w:hint="eastAsia" w:ascii="Times New Roman" w:hAnsi="Times New Roman" w:eastAsia="宋体" w:cs="宋体"/>
          <w:color w:val="000000"/>
          <w:sz w:val="24"/>
        </w:rPr>
        <w:t>草案</w:t>
      </w:r>
      <w:r>
        <w:rPr>
          <w:rFonts w:ascii="Times New Roman" w:hAnsi="Times New Roman" w:eastAsia="宋体" w:cs="宋体"/>
          <w:color w:val="000000"/>
          <w:sz w:val="24"/>
        </w:rPr>
        <w:t>和编制说明。</w:t>
      </w:r>
    </w:p>
    <w:p>
      <w:pPr>
        <w:pStyle w:val="7"/>
        <w:numPr>
          <w:ilvl w:val="1"/>
          <w:numId w:val="3"/>
        </w:numPr>
        <w:rPr>
          <w:rStyle w:val="12"/>
          <w:rFonts w:ascii="黑体" w:hAnsi="黑体" w:cs="黑体"/>
          <w:b w:val="0"/>
          <w:bCs w:val="0"/>
        </w:rPr>
      </w:pPr>
      <w:r>
        <w:rPr>
          <w:rStyle w:val="12"/>
          <w:rFonts w:ascii="黑体" w:hAnsi="黑体" w:cs="黑体"/>
          <w:b w:val="0"/>
          <w:bCs w:val="0"/>
        </w:rPr>
        <w:t>征求意见阶段</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 xml:space="preserve">预计 2025 年 </w:t>
      </w:r>
      <w:r>
        <w:rPr>
          <w:rFonts w:hint="eastAsia" w:ascii="Times New Roman" w:hAnsi="Times New Roman" w:eastAsia="宋体" w:cs="宋体"/>
          <w:color w:val="000000"/>
          <w:sz w:val="24"/>
        </w:rPr>
        <w:t>6</w:t>
      </w:r>
      <w:r>
        <w:rPr>
          <w:rFonts w:ascii="Times New Roman" w:hAnsi="Times New Roman" w:eastAsia="宋体" w:cs="宋体"/>
          <w:color w:val="000000"/>
          <w:sz w:val="24"/>
        </w:rPr>
        <w:t>～</w:t>
      </w:r>
      <w:r>
        <w:rPr>
          <w:rFonts w:hint="eastAsia" w:ascii="Times New Roman" w:hAnsi="Times New Roman" w:eastAsia="宋体" w:cs="宋体"/>
          <w:color w:val="000000"/>
          <w:sz w:val="24"/>
        </w:rPr>
        <w:t>8</w:t>
      </w:r>
      <w:r>
        <w:rPr>
          <w:rFonts w:ascii="Times New Roman" w:hAnsi="Times New Roman" w:eastAsia="宋体" w:cs="宋体"/>
          <w:color w:val="000000"/>
          <w:sz w:val="24"/>
        </w:rPr>
        <w:t xml:space="preserve"> 月项目组拟向广东、海南、福建、广西等地方生产卵形鲳鲹相关企业（海大集团、</w:t>
      </w:r>
      <w:r>
        <w:rPr>
          <w:rFonts w:hint="eastAsia" w:ascii="Times New Roman" w:hAnsi="Times New Roman" w:eastAsia="宋体" w:cs="宋体"/>
          <w:color w:val="000000"/>
          <w:sz w:val="24"/>
        </w:rPr>
        <w:t>海</w:t>
      </w:r>
      <w:r>
        <w:rPr>
          <w:rFonts w:ascii="Times New Roman" w:hAnsi="Times New Roman" w:eastAsia="宋体" w:cs="宋体"/>
          <w:color w:val="000000"/>
          <w:sz w:val="24"/>
        </w:rPr>
        <w:t>威集团、</w:t>
      </w:r>
      <w:r>
        <w:rPr>
          <w:rFonts w:hint="eastAsia" w:ascii="Times New Roman" w:hAnsi="Times New Roman" w:eastAsia="宋体" w:cs="宋体"/>
          <w:color w:val="000000"/>
          <w:sz w:val="24"/>
        </w:rPr>
        <w:t>湛江经纬实业有限公司、广东恒兴股份有限公司、</w:t>
      </w:r>
      <w:r>
        <w:rPr>
          <w:rFonts w:ascii="Times New Roman" w:hAnsi="Times New Roman" w:eastAsia="宋体" w:cs="宋体"/>
          <w:color w:val="000000"/>
          <w:sz w:val="24"/>
        </w:rPr>
        <w:t>海南晨海水产有限公司、海南青利水产繁殖有限公司、福建省宁德市海洋渔业发展有限公司等）、研究海水鱼类相关科研院所（广东海洋大学、上海海洋大学、集美大学、中国水产科学研究院南海水产研究所</w:t>
      </w:r>
      <w:r>
        <w:rPr>
          <w:rFonts w:hint="eastAsia" w:ascii="Times New Roman" w:hAnsi="Times New Roman" w:eastAsia="宋体" w:cs="宋体"/>
          <w:color w:val="000000"/>
          <w:sz w:val="24"/>
        </w:rPr>
        <w:t>、广西水产科学研究院</w:t>
      </w:r>
      <w:r>
        <w:rPr>
          <w:rFonts w:ascii="Times New Roman" w:hAnsi="Times New Roman" w:eastAsia="宋体" w:cs="宋体"/>
          <w:color w:val="000000"/>
          <w:sz w:val="24"/>
        </w:rPr>
        <w:t>等）、水产技术推广站相关专家进行征求意见，对收到的意见进行汇总，并根据反馈意见结果对标准进行再次修改，形成标准送审稿，对未采纳和部分采纳意见均在备注栏中做说明。</w:t>
      </w:r>
    </w:p>
    <w:p>
      <w:pPr>
        <w:pStyle w:val="7"/>
        <w:numPr>
          <w:ilvl w:val="1"/>
          <w:numId w:val="3"/>
        </w:numPr>
        <w:rPr>
          <w:rStyle w:val="12"/>
          <w:rFonts w:ascii="黑体" w:hAnsi="黑体" w:cs="黑体"/>
          <w:b w:val="0"/>
          <w:bCs w:val="0"/>
        </w:rPr>
      </w:pPr>
      <w:r>
        <w:rPr>
          <w:rStyle w:val="12"/>
          <w:rFonts w:ascii="黑体" w:hAnsi="黑体" w:cs="黑体"/>
          <w:b w:val="0"/>
          <w:bCs w:val="0"/>
        </w:rPr>
        <w:t>预审阶段</w:t>
      </w:r>
    </w:p>
    <w:p>
      <w:pPr>
        <w:spacing w:line="360" w:lineRule="auto"/>
        <w:ind w:firstLine="480" w:firstLineChars="200"/>
        <w:jc w:val="left"/>
        <w:rPr>
          <w:rFonts w:ascii="Times New Roman" w:hAnsi="Times New Roman" w:eastAsia="宋体" w:cs="宋体"/>
          <w:color w:val="000000"/>
          <w:sz w:val="24"/>
        </w:rPr>
      </w:pPr>
      <w:r>
        <w:rPr>
          <w:rFonts w:ascii="Times New Roman" w:hAnsi="Times New Roman" w:eastAsia="宋体" w:cs="宋体"/>
          <w:color w:val="000000"/>
          <w:sz w:val="24"/>
        </w:rPr>
        <w:t>预计在 2025 年</w:t>
      </w:r>
      <w:r>
        <w:rPr>
          <w:rFonts w:hint="eastAsia" w:ascii="Times New Roman" w:hAnsi="Times New Roman" w:eastAsia="宋体" w:cs="宋体"/>
          <w:color w:val="000000"/>
          <w:sz w:val="24"/>
        </w:rPr>
        <w:t>9</w:t>
      </w:r>
      <w:r>
        <w:rPr>
          <w:rFonts w:ascii="Times New Roman" w:hAnsi="Times New Roman" w:eastAsia="宋体" w:cs="宋体"/>
          <w:color w:val="000000"/>
          <w:sz w:val="24"/>
        </w:rPr>
        <w:t>月组织召开标准技术审查会，评审专家对标准预审稿和编制说明进行逐条审阅，标准起草小组对存在的问题进行答复、归纳意见，并形成预审会修改意见汇总表。会后项目组对标准预审稿和编制说明进行修改和完善，</w:t>
      </w:r>
    </w:p>
    <w:p>
      <w:pPr>
        <w:spacing w:line="360" w:lineRule="auto"/>
        <w:rPr>
          <w:rFonts w:ascii="Times New Roman" w:hAnsi="Times New Roman" w:eastAsia="宋体" w:cs="宋体"/>
          <w:color w:val="000000"/>
          <w:sz w:val="24"/>
        </w:rPr>
      </w:pPr>
      <w:r>
        <w:rPr>
          <w:rFonts w:ascii="Times New Roman" w:hAnsi="Times New Roman" w:eastAsia="宋体" w:cs="宋体"/>
          <w:color w:val="000000"/>
          <w:sz w:val="24"/>
        </w:rPr>
        <w:t>经评审专家再次审阅，预计 2025 年 11 月最终形成送审稿。</w:t>
      </w:r>
    </w:p>
    <w:p>
      <w:pPr>
        <w:pStyle w:val="7"/>
        <w:numPr>
          <w:ilvl w:val="1"/>
          <w:numId w:val="3"/>
        </w:numPr>
        <w:rPr>
          <w:rStyle w:val="12"/>
          <w:rFonts w:ascii="黑体" w:hAnsi="黑体" w:cs="黑体"/>
          <w:b w:val="0"/>
          <w:bCs w:val="0"/>
        </w:rPr>
      </w:pPr>
      <w:r>
        <w:rPr>
          <w:rStyle w:val="12"/>
          <w:rFonts w:ascii="黑体" w:hAnsi="黑体" w:cs="黑体"/>
          <w:b w:val="0"/>
          <w:bCs w:val="0"/>
        </w:rPr>
        <w:t>标准报批稿</w:t>
      </w:r>
      <w:r>
        <w:rPr>
          <w:rStyle w:val="12"/>
          <w:rFonts w:hint="eastAsia" w:ascii="黑体" w:hAnsi="黑体" w:cs="黑体"/>
          <w:b w:val="0"/>
          <w:bCs w:val="0"/>
          <w:lang w:val="en-US" w:eastAsia="zh-CN"/>
        </w:rPr>
        <w:t>完善</w:t>
      </w:r>
    </w:p>
    <w:p>
      <w:pPr>
        <w:spacing w:line="360" w:lineRule="auto"/>
        <w:ind w:firstLine="480" w:firstLineChars="200"/>
        <w:jc w:val="left"/>
        <w:rPr>
          <w:rFonts w:ascii="Times New Roman" w:hAnsi="Times New Roman" w:eastAsia="宋体" w:cs="宋体"/>
          <w:color w:val="000000"/>
          <w:sz w:val="24"/>
        </w:rPr>
      </w:pPr>
      <w:r>
        <w:rPr>
          <w:rFonts w:ascii="Times New Roman" w:hAnsi="Times New Roman" w:eastAsia="宋体" w:cs="宋体"/>
          <w:color w:val="000000"/>
          <w:sz w:val="24"/>
        </w:rPr>
        <w:t>预计在 2025 年 12 月份，</w:t>
      </w:r>
      <w:r>
        <w:rPr>
          <w:rFonts w:hint="eastAsia" w:ascii="Times New Roman" w:hAnsi="Times New Roman" w:eastAsia="宋体" w:cs="宋体"/>
          <w:color w:val="000000"/>
          <w:sz w:val="24"/>
          <w:lang w:val="en-US" w:eastAsia="zh-CN"/>
        </w:rPr>
        <w:t>完善</w:t>
      </w:r>
      <w:r>
        <w:rPr>
          <w:rFonts w:ascii="Times New Roman" w:hAnsi="Times New Roman" w:eastAsia="宋体" w:cs="宋体"/>
          <w:color w:val="000000"/>
          <w:sz w:val="24"/>
        </w:rPr>
        <w:t>标准报批稿。</w:t>
      </w:r>
    </w:p>
    <w:p>
      <w:pPr>
        <w:pStyle w:val="7"/>
        <w:numPr>
          <w:ilvl w:val="0"/>
          <w:numId w:val="3"/>
        </w:numPr>
        <w:rPr>
          <w:rStyle w:val="12"/>
          <w:rFonts w:ascii="黑体" w:hAnsi="黑体" w:cs="黑体"/>
          <w:b w:val="0"/>
          <w:bCs w:val="0"/>
        </w:rPr>
      </w:pPr>
      <w:r>
        <w:rPr>
          <w:rStyle w:val="12"/>
          <w:rFonts w:ascii="黑体" w:hAnsi="黑体" w:cs="黑体"/>
          <w:b w:val="0"/>
          <w:bCs w:val="0"/>
        </w:rPr>
        <w:t>承担与协作单位</w:t>
      </w:r>
    </w:p>
    <w:p>
      <w:pPr>
        <w:spacing w:line="360" w:lineRule="auto"/>
        <w:ind w:firstLine="480" w:firstLineChars="200"/>
        <w:jc w:val="left"/>
        <w:rPr>
          <w:rFonts w:ascii="Times New Roman" w:hAnsi="Times New Roman" w:eastAsia="宋体" w:cs="宋体"/>
          <w:color w:val="000000"/>
          <w:sz w:val="24"/>
        </w:rPr>
      </w:pPr>
      <w:r>
        <w:rPr>
          <w:rFonts w:ascii="Times New Roman" w:hAnsi="Times New Roman" w:eastAsia="宋体" w:cs="宋体"/>
          <w:color w:val="000000"/>
          <w:sz w:val="24"/>
        </w:rPr>
        <w:t>本标准的起草承担单位是南方海洋科学与工程广东省实验室（湛江），协作</w:t>
      </w:r>
    </w:p>
    <w:p>
      <w:pPr>
        <w:spacing w:line="360" w:lineRule="auto"/>
        <w:rPr>
          <w:rFonts w:ascii="Times New Roman" w:hAnsi="Times New Roman" w:eastAsia="宋体" w:cs="宋体"/>
          <w:color w:val="000000"/>
          <w:sz w:val="24"/>
        </w:rPr>
      </w:pPr>
      <w:r>
        <w:rPr>
          <w:rFonts w:ascii="Times New Roman" w:hAnsi="Times New Roman" w:eastAsia="宋体" w:cs="宋体"/>
          <w:color w:val="000000"/>
          <w:sz w:val="24"/>
        </w:rPr>
        <w:t>单位是由广东省湛江市质量技术监督标准与编码所、广东恒兴集团有限公司。</w:t>
      </w:r>
    </w:p>
    <w:p>
      <w:pPr>
        <w:spacing w:line="360" w:lineRule="auto"/>
        <w:jc w:val="left"/>
        <w:rPr>
          <w:rFonts w:ascii="Times New Roman" w:hAnsi="Times New Roman" w:eastAsia="宋体" w:cs="宋体"/>
          <w:color w:val="000000"/>
          <w:sz w:val="24"/>
        </w:rPr>
      </w:pPr>
      <w:r>
        <w:rPr>
          <w:rFonts w:ascii="Times New Roman" w:hAnsi="Times New Roman" w:eastAsia="宋体" w:cs="宋体"/>
          <w:color w:val="000000"/>
          <w:sz w:val="24"/>
        </w:rPr>
        <w:t>（1）南方海洋科学与工程广东省实验室（湛江）</w:t>
      </w:r>
    </w:p>
    <w:p>
      <w:pPr>
        <w:spacing w:line="360" w:lineRule="auto"/>
        <w:ind w:firstLine="480" w:firstLineChars="200"/>
        <w:jc w:val="left"/>
        <w:rPr>
          <w:rFonts w:ascii="Times New Roman" w:hAnsi="Times New Roman" w:eastAsia="宋体" w:cs="宋体"/>
          <w:color w:val="000000"/>
          <w:sz w:val="24"/>
        </w:rPr>
      </w:pPr>
      <w:r>
        <w:rPr>
          <w:rFonts w:ascii="Times New Roman" w:hAnsi="Times New Roman" w:eastAsia="宋体" w:cs="宋体"/>
          <w:color w:val="000000"/>
          <w:sz w:val="24"/>
        </w:rPr>
        <w:t>南方海洋科学与工程广东省实验室（湛江）简称湛江湾实验室，是省委、省</w:t>
      </w:r>
    </w:p>
    <w:p>
      <w:pPr>
        <w:spacing w:line="360" w:lineRule="auto"/>
        <w:rPr>
          <w:rFonts w:ascii="Times New Roman" w:hAnsi="Times New Roman" w:eastAsia="宋体" w:cs="宋体"/>
          <w:color w:val="000000"/>
          <w:sz w:val="24"/>
        </w:rPr>
      </w:pPr>
      <w:r>
        <w:rPr>
          <w:rFonts w:ascii="Times New Roman" w:hAnsi="Times New Roman" w:eastAsia="宋体" w:cs="宋体"/>
          <w:color w:val="000000"/>
          <w:sz w:val="24"/>
        </w:rPr>
        <w:t>政府 2018 年 11 月批准启动建设的省实验室之一。实验室紧紧围绕国家海洋强国发展战略和习近平总书记视察广东重要讲话重要指示精神，坚决落实省委“1310”具体部署，立足湛江、服务海洋、面向产业、面向市场，聚焦海洋装备、</w:t>
      </w:r>
    </w:p>
    <w:p>
      <w:pPr>
        <w:spacing w:line="360" w:lineRule="auto"/>
        <w:jc w:val="left"/>
        <w:rPr>
          <w:rFonts w:ascii="Times New Roman" w:hAnsi="Times New Roman" w:eastAsia="宋体" w:cs="宋体"/>
          <w:color w:val="000000"/>
          <w:sz w:val="24"/>
        </w:rPr>
      </w:pPr>
      <w:r>
        <w:rPr>
          <w:rFonts w:ascii="Times New Roman" w:hAnsi="Times New Roman" w:eastAsia="宋体" w:cs="宋体"/>
          <w:color w:val="000000"/>
          <w:sz w:val="24"/>
        </w:rPr>
        <w:t>海洋能源、海洋生物三大领域，系统谋划海洋牧场研究与建设，重点围绕深远海</w:t>
      </w:r>
    </w:p>
    <w:p>
      <w:pPr>
        <w:spacing w:line="360" w:lineRule="auto"/>
        <w:rPr>
          <w:rFonts w:ascii="Times New Roman" w:hAnsi="Times New Roman" w:eastAsia="宋体" w:cs="宋体"/>
          <w:color w:val="000000"/>
          <w:sz w:val="24"/>
        </w:rPr>
      </w:pPr>
      <w:r>
        <w:rPr>
          <w:rFonts w:ascii="Times New Roman" w:hAnsi="Times New Roman" w:eastAsia="宋体" w:cs="宋体"/>
          <w:color w:val="000000"/>
          <w:sz w:val="24"/>
        </w:rPr>
        <w:t>养殖技术与装备及产业化进行全产业链技术创新，积极探索近海埋碳增油(CCUS</w:t>
      </w:r>
    </w:p>
    <w:p>
      <w:pPr>
        <w:spacing w:line="360" w:lineRule="auto"/>
        <w:jc w:val="left"/>
        <w:rPr>
          <w:rFonts w:ascii="Times New Roman" w:hAnsi="Times New Roman" w:eastAsia="宋体" w:cs="宋体"/>
          <w:color w:val="000000"/>
          <w:sz w:val="24"/>
        </w:rPr>
      </w:pPr>
      <w:r>
        <w:rPr>
          <w:rFonts w:ascii="Times New Roman" w:hAnsi="Times New Roman" w:eastAsia="宋体" w:cs="宋体"/>
          <w:color w:val="000000"/>
          <w:sz w:val="24"/>
        </w:rPr>
        <w:t>碳捕集、利用与封存)，红树林种养耦合和湛江蚝全产业链培育等方向，组建智</w:t>
      </w:r>
    </w:p>
    <w:p>
      <w:pPr>
        <w:spacing w:line="360" w:lineRule="auto"/>
        <w:jc w:val="left"/>
        <w:rPr>
          <w:rFonts w:ascii="Times New Roman" w:hAnsi="Times New Roman" w:eastAsia="宋体" w:cs="宋体"/>
          <w:color w:val="000000"/>
          <w:sz w:val="24"/>
        </w:rPr>
      </w:pPr>
      <w:r>
        <w:rPr>
          <w:rFonts w:ascii="Times New Roman" w:hAnsi="Times New Roman" w:eastAsia="宋体" w:cs="宋体"/>
          <w:color w:val="000000"/>
          <w:sz w:val="24"/>
        </w:rPr>
        <w:t>能海洋装备、海洋绿色能源开发、海洋生物资源开发、智慧渔业、融合发展、红</w:t>
      </w:r>
    </w:p>
    <w:p>
      <w:pPr>
        <w:spacing w:line="360" w:lineRule="auto"/>
        <w:rPr>
          <w:rFonts w:ascii="Times New Roman" w:hAnsi="Times New Roman" w:eastAsia="宋体" w:cs="宋体"/>
          <w:color w:val="000000"/>
          <w:sz w:val="24"/>
        </w:rPr>
      </w:pPr>
      <w:r>
        <w:rPr>
          <w:rFonts w:ascii="Times New Roman" w:hAnsi="Times New Roman" w:eastAsia="宋体" w:cs="宋体"/>
          <w:color w:val="000000"/>
          <w:sz w:val="24"/>
        </w:rPr>
        <w:t>树林保护、湛江蚝产业技术等研究中心（院），建立林君院士、谢玉洪院士等院</w:t>
      </w:r>
    </w:p>
    <w:p>
      <w:pPr>
        <w:spacing w:line="360" w:lineRule="auto"/>
        <w:jc w:val="left"/>
        <w:rPr>
          <w:rFonts w:ascii="Times New Roman" w:hAnsi="Times New Roman" w:eastAsia="宋体" w:cs="宋体"/>
          <w:color w:val="000000"/>
          <w:sz w:val="24"/>
        </w:rPr>
      </w:pPr>
      <w:r>
        <w:rPr>
          <w:rFonts w:ascii="Times New Roman" w:hAnsi="Times New Roman" w:eastAsia="宋体" w:cs="宋体"/>
          <w:color w:val="000000"/>
          <w:sz w:val="24"/>
        </w:rPr>
        <w:t>士工作站(室)，引进吴有生、麦康森、杨德森、周守为、曾恒一、潘德炉、林君、</w:t>
      </w:r>
    </w:p>
    <w:p>
      <w:pPr>
        <w:spacing w:line="360" w:lineRule="auto"/>
        <w:jc w:val="left"/>
        <w:rPr>
          <w:rFonts w:ascii="Times New Roman" w:hAnsi="Times New Roman" w:eastAsia="宋体" w:cs="宋体"/>
          <w:color w:val="000000"/>
          <w:sz w:val="24"/>
        </w:rPr>
      </w:pPr>
      <w:r>
        <w:rPr>
          <w:rFonts w:ascii="Times New Roman" w:hAnsi="Times New Roman" w:eastAsia="宋体" w:cs="宋体"/>
          <w:color w:val="000000"/>
          <w:sz w:val="24"/>
        </w:rPr>
        <w:t>刘少军、谢玉洪、陈松林等院士领军人才。现有人员 606 人，其中全职人员 213</w:t>
      </w:r>
    </w:p>
    <w:p>
      <w:pPr>
        <w:spacing w:line="360" w:lineRule="auto"/>
        <w:jc w:val="left"/>
        <w:rPr>
          <w:rFonts w:ascii="Times New Roman" w:hAnsi="Times New Roman" w:eastAsia="宋体" w:cs="宋体"/>
          <w:color w:val="000000"/>
          <w:sz w:val="24"/>
        </w:rPr>
      </w:pPr>
      <w:r>
        <w:rPr>
          <w:rFonts w:ascii="Times New Roman" w:hAnsi="Times New Roman" w:eastAsia="宋体" w:cs="宋体"/>
          <w:color w:val="000000"/>
          <w:sz w:val="24"/>
        </w:rPr>
        <w:t>人，固定人员和总人数均为粤东西北首位。具有博士研究生 25 人，硕士研究生</w:t>
      </w:r>
    </w:p>
    <w:p>
      <w:pPr>
        <w:spacing w:line="360" w:lineRule="auto"/>
        <w:jc w:val="left"/>
        <w:rPr>
          <w:rFonts w:ascii="Times New Roman" w:hAnsi="Times New Roman" w:eastAsia="宋体" w:cs="宋体"/>
          <w:color w:val="000000"/>
          <w:sz w:val="24"/>
        </w:rPr>
      </w:pPr>
      <w:r>
        <w:rPr>
          <w:rFonts w:ascii="Times New Roman" w:hAnsi="Times New Roman" w:eastAsia="宋体" w:cs="宋体"/>
          <w:color w:val="000000"/>
          <w:sz w:val="24"/>
        </w:rPr>
        <w:t>135 人。</w:t>
      </w:r>
    </w:p>
    <w:p>
      <w:pPr>
        <w:spacing w:line="360" w:lineRule="auto"/>
        <w:ind w:firstLine="480" w:firstLineChars="200"/>
        <w:jc w:val="left"/>
        <w:rPr>
          <w:rFonts w:ascii="Times New Roman" w:hAnsi="Times New Roman" w:eastAsia="宋体" w:cs="宋体"/>
          <w:color w:val="000000"/>
          <w:sz w:val="24"/>
        </w:rPr>
      </w:pPr>
      <w:r>
        <w:rPr>
          <w:rFonts w:ascii="Times New Roman" w:hAnsi="Times New Roman" w:eastAsia="宋体" w:cs="宋体"/>
          <w:color w:val="000000"/>
          <w:sz w:val="24"/>
        </w:rPr>
        <w:t>实验室专家团队参与过多项行标、国标编制：（1）船舶行业标准：CB/T 4144船舶与海上技术 船舶桥楼布置及相关设备的要求和指南；（2）国家标准：电子海图显示与信息系统（ECDIS）操作和性能要求、试验方法和要求的结果；（3）</w:t>
      </w:r>
    </w:p>
    <w:p>
      <w:pPr>
        <w:spacing w:line="360" w:lineRule="auto"/>
        <w:jc w:val="left"/>
        <w:rPr>
          <w:rFonts w:ascii="Times New Roman" w:hAnsi="Times New Roman" w:eastAsia="宋体" w:cs="宋体"/>
          <w:color w:val="000000"/>
          <w:sz w:val="24"/>
        </w:rPr>
      </w:pPr>
      <w:r>
        <w:rPr>
          <w:rFonts w:ascii="Times New Roman" w:hAnsi="Times New Roman" w:eastAsia="宋体" w:cs="宋体"/>
          <w:color w:val="000000"/>
          <w:sz w:val="24"/>
        </w:rPr>
        <w:t>国家标准，船用罗兰 C 接收机最低性能标准试验方法和要求的试验结果；（4）</w:t>
      </w:r>
    </w:p>
    <w:p>
      <w:pPr>
        <w:spacing w:line="360" w:lineRule="auto"/>
        <w:rPr>
          <w:rFonts w:ascii="Times New Roman" w:hAnsi="Times New Roman" w:eastAsia="宋体" w:cs="宋体"/>
          <w:color w:val="000000"/>
          <w:sz w:val="24"/>
        </w:rPr>
      </w:pPr>
      <w:r>
        <w:rPr>
          <w:rFonts w:ascii="Times New Roman" w:hAnsi="Times New Roman" w:eastAsia="宋体" w:cs="宋体"/>
          <w:color w:val="000000"/>
          <w:sz w:val="24"/>
        </w:rPr>
        <w:t>国家标准，海上导航和无线电通讯系统 数字接口 第 3 部分：串行数据设备网络。正在参与制定的团标：《智慧渔业传感系统布设体系标准草案》；海洋生物资源开发研究中心围绕深远海养殖技术与装备，重点开展深远海适养鱼类全产业链技术研究与攻关，开发适于深远海养殖装备的经济鱼类，突破适养鱼类养殖核心关键技术，打造深远海养殖模式与标准，构建深远海养殖技术体系。同时聚焦海洋生物医药、生物制药、海产品高附加值产物开发与利用等领域，集中资源，加强关键核心技术攻关和重大产品研发，提升科技支撑引领能力。生物中心下属部门深远海养殖技术标准化研究所，所长担任国家水产标准技术委员会海水养殖分会副主任，广东水产学会副会长等职务，团队成员有大多拥有多年水产动物生产实践经验，制定相关国家标准、地方标准和企业标准多项，如《凡纳滨对虾育苗技术规范》（GB/T 30890-2014） 等。团队成员系统深入的学习了《中华人民共和国标准化法》、《国家标准化发展纲要》、《标准编制说明编写新要求及注意事项》、《如何申报和制定国家标准、行业标准、地方标准》、《水产标准化管理新要求》、《水产国、行标制修订程序及审查要求》等法律法规、相关政策及标准化专业知识。</w:t>
      </w:r>
    </w:p>
    <w:p>
      <w:pPr>
        <w:spacing w:line="360" w:lineRule="auto"/>
        <w:jc w:val="left"/>
        <w:rPr>
          <w:rFonts w:ascii="Times New Roman" w:hAnsi="Times New Roman" w:eastAsia="宋体" w:cs="宋体"/>
          <w:color w:val="000000"/>
          <w:sz w:val="24"/>
        </w:rPr>
      </w:pPr>
      <w:r>
        <w:rPr>
          <w:rFonts w:hint="eastAsia" w:ascii="Times New Roman" w:hAnsi="Times New Roman" w:eastAsia="宋体" w:cs="宋体"/>
          <w:color w:val="000000"/>
          <w:sz w:val="24"/>
        </w:rPr>
        <w:t>（2）</w:t>
      </w:r>
      <w:r>
        <w:rPr>
          <w:rFonts w:ascii="Times New Roman" w:hAnsi="Times New Roman" w:eastAsia="宋体" w:cs="宋体"/>
          <w:color w:val="000000"/>
          <w:sz w:val="24"/>
        </w:rPr>
        <w:t>广东省湛江市质量技术监督标准与编码所</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 xml:space="preserve">广东省湛江市质量技术监督标准与编码所成立于2003年8月。属于省直事业机构，是广东省粤西地区唯一的标准化服务与研究专业技术机构。目前拥有在职员工25人，其中高级工程师职称4人、中级工程师职称8人，研究生及以上学历人才7人。目前是CQC中国质量认证中心广州分中心湛江办事处、广东省WTO/TBT-SPS通报咨询研究中心湛江工作站、广东省物品编码分中心湛江市办事处，2018年经广东省工业和信息化厅认定为省级“质量与标准中小微企业公共服务示范平台”。本单位作为省、市实施标准化战略的技术支撑单位，根据政策要求，结合地方产业特色长期开展标准化研究与服务工作，包括开展国家标准、行业标准、地方标准、团体标准研制，标准体系研究、标准化试点创建、标准化应用、标准化信息服务平台建设等工作。 </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截</w:t>
      </w:r>
      <w:r>
        <w:rPr>
          <w:rFonts w:hint="eastAsia" w:ascii="Times New Roman" w:hAnsi="Times New Roman" w:eastAsia="宋体" w:cs="宋体"/>
          <w:color w:val="000000"/>
          <w:sz w:val="24"/>
          <w:lang w:val="en-US" w:eastAsia="zh-CN"/>
        </w:rPr>
        <w:t>至</w:t>
      </w:r>
      <w:r>
        <w:rPr>
          <w:rFonts w:ascii="Times New Roman" w:hAnsi="Times New Roman" w:eastAsia="宋体" w:cs="宋体"/>
          <w:color w:val="000000"/>
          <w:sz w:val="24"/>
        </w:rPr>
        <w:t>目前，广东省湛江市质量技术监督标准与编码所主导和主要参与制定的标准有：国家标准2项（GB/T 26940-202</w:t>
      </w:r>
      <w:bookmarkStart w:id="1" w:name="_GoBack"/>
      <w:bookmarkEnd w:id="1"/>
      <w:r>
        <w:rPr>
          <w:rFonts w:ascii="Times New Roman" w:hAnsi="Times New Roman" w:eastAsia="宋体" w:cs="宋体"/>
          <w:color w:val="000000"/>
          <w:sz w:val="24"/>
        </w:rPr>
        <w:t>3《牡蛎干》、GB/T 30947-2024《罐装冷藏蟹肉》），行业标准2项（SC/T 3035-2018《水产品包装、标识通则》、NY/T 873-2023《菠萝汁》），“湾区标准”1项（T/ZJBX 12—2023《预制菜 烤鱼》），地方标准45项（DB4408/T 6-2020《地理标志产品 廉江红橙》等），团体标准53项（T/ZDBX 001—2021《地理标志产品 湛江鸡》等）。技术指导完成国家级服务业标准化试点2项，国家级美丽乡村试点1项，省级农业标准化试点2项。同时立项并完成了水产品、徐闻菠萝、湛江菜等多个项目的技术标准体系研究项目。</w:t>
      </w:r>
    </w:p>
    <w:p>
      <w:pPr>
        <w:spacing w:line="360" w:lineRule="auto"/>
        <w:ind w:firstLine="480" w:firstLineChars="200"/>
        <w:jc w:val="left"/>
        <w:rPr>
          <w:rFonts w:ascii="Times New Roman" w:hAnsi="Times New Roman" w:eastAsia="宋体" w:cs="宋体"/>
          <w:color w:val="000000"/>
          <w:sz w:val="24"/>
        </w:rPr>
      </w:pPr>
      <w:r>
        <w:rPr>
          <w:rFonts w:hint="eastAsia" w:ascii="Times New Roman" w:hAnsi="Times New Roman" w:eastAsia="宋体" w:cs="宋体"/>
          <w:color w:val="000000"/>
          <w:sz w:val="24"/>
        </w:rPr>
        <w:t>（3）广东恒兴集团有限公司</w:t>
      </w:r>
    </w:p>
    <w:p>
      <w:pPr>
        <w:spacing w:line="360" w:lineRule="auto"/>
        <w:ind w:firstLine="480" w:firstLineChars="200"/>
        <w:rPr>
          <w:rFonts w:ascii="Times New Roman" w:hAnsi="Times New Roman" w:eastAsia="宋体" w:cs="宋体"/>
          <w:color w:val="000000"/>
          <w:sz w:val="24"/>
        </w:rPr>
      </w:pPr>
      <w:r>
        <w:rPr>
          <w:rFonts w:hint="eastAsia" w:ascii="Times New Roman" w:hAnsi="Times New Roman" w:eastAsia="宋体" w:cs="宋体"/>
          <w:color w:val="000000"/>
          <w:sz w:val="24"/>
        </w:rPr>
        <w:t>广东恒兴集团有限公司（简称“恒兴集团”）创立于1998年，是一家主营养殖、水产品食品、智慧渔业、房地产开发，参股金融和港口业务的大型民营企业，旗下拥有40余家子公司。二十多年来，恒兴集团不断开拓进取，锐意创新，荣获“农业产业化国家重点龙头企业”“数字农业先锋企业”“高新技术企业”“中国民营企业500强”“中国制造业民营企业500强”“世界水产100强企业”“广东省百强民营企业”“改革开放40年中国农业十大卓越贡献企业”等荣誉称号。恒兴集团参与制定：《DB4408/T 13-2022 卵形鲳鲹人工繁育技术规程》、《DB4408/T 14-2022卵形鲳鲹 鱼苗和鱼种》、《DB4408/T 15-2022 卵形鲳鲹养殖技术规程 鱼苗和鱼种培育》、《DB4408/T 16-2022 卵形鲳鲹养殖技术规程 深水网箱养殖》等地方标准。公司拥有1.2万亩水产养殖示范基地、200多个大型深水网箱；公司秉承“提高人类生活品质”的企业愿景，肩负“恒农兴邦”的使命，坚持”专业化、产业化、国际化、数智化“的发展目标，高度重视技术创新和产品研发，大力推行“公司+基地+农户+标准+服务”的农业产业化运作模式，积极打造“从塘头到餐桌的安全、营养、美味的水产食品产业链。</w:t>
      </w:r>
    </w:p>
    <w:p>
      <w:pPr>
        <w:pStyle w:val="7"/>
        <w:numPr>
          <w:ilvl w:val="0"/>
          <w:numId w:val="3"/>
        </w:numPr>
        <w:rPr>
          <w:rStyle w:val="12"/>
          <w:rFonts w:ascii="黑体" w:hAnsi="黑体" w:cs="黑体"/>
          <w:b w:val="0"/>
          <w:bCs w:val="0"/>
        </w:rPr>
      </w:pPr>
      <w:r>
        <w:rPr>
          <w:rStyle w:val="12"/>
          <w:rFonts w:hint="eastAsia" w:ascii="黑体" w:hAnsi="黑体" w:cs="黑体"/>
          <w:b w:val="0"/>
          <w:bCs w:val="0"/>
        </w:rPr>
        <w:t>主要起草人员以及工作分工：</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5"/>
        <w:gridCol w:w="1145"/>
        <w:gridCol w:w="2205"/>
        <w:gridCol w:w="2003"/>
        <w:gridCol w:w="1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748" w:type="pct"/>
            <w:vAlign w:val="center"/>
          </w:tcPr>
          <w:p>
            <w:pPr>
              <w:adjustRightInd w:val="0"/>
              <w:spacing w:line="600" w:lineRule="exact"/>
              <w:jc w:val="left"/>
              <w:rPr>
                <w:rFonts w:ascii="宋体" w:hAnsi="宋体" w:eastAsia="宋体" w:cs="宋体"/>
                <w:b/>
                <w:color w:val="000000"/>
                <w:szCs w:val="28"/>
              </w:rPr>
            </w:pPr>
            <w:r>
              <w:rPr>
                <w:rFonts w:hint="eastAsia" w:ascii="宋体" w:hAnsi="宋体" w:eastAsia="宋体" w:cs="宋体"/>
                <w:b/>
                <w:color w:val="000000"/>
                <w:szCs w:val="28"/>
              </w:rPr>
              <w:t>姓名</w:t>
            </w:r>
          </w:p>
        </w:tc>
        <w:tc>
          <w:tcPr>
            <w:tcW w:w="672" w:type="pct"/>
            <w:vAlign w:val="center"/>
          </w:tcPr>
          <w:p>
            <w:pPr>
              <w:adjustRightInd w:val="0"/>
              <w:spacing w:line="600" w:lineRule="exact"/>
              <w:jc w:val="left"/>
              <w:rPr>
                <w:rFonts w:ascii="宋体" w:hAnsi="宋体" w:eastAsia="宋体" w:cs="宋体"/>
                <w:b/>
                <w:color w:val="000000"/>
                <w:szCs w:val="28"/>
              </w:rPr>
            </w:pPr>
            <w:r>
              <w:rPr>
                <w:rFonts w:hint="eastAsia" w:ascii="宋体" w:hAnsi="宋体" w:eastAsia="宋体" w:cs="宋体"/>
                <w:b/>
                <w:color w:val="000000"/>
                <w:szCs w:val="28"/>
              </w:rPr>
              <w:t>性别</w:t>
            </w:r>
          </w:p>
        </w:tc>
        <w:tc>
          <w:tcPr>
            <w:tcW w:w="1294" w:type="pct"/>
            <w:vAlign w:val="center"/>
          </w:tcPr>
          <w:p>
            <w:pPr>
              <w:adjustRightInd w:val="0"/>
              <w:spacing w:line="600" w:lineRule="exact"/>
              <w:jc w:val="left"/>
              <w:rPr>
                <w:rFonts w:ascii="宋体" w:hAnsi="宋体" w:eastAsia="宋体" w:cs="宋体"/>
                <w:b/>
                <w:color w:val="000000"/>
                <w:szCs w:val="28"/>
              </w:rPr>
            </w:pPr>
            <w:r>
              <w:rPr>
                <w:rFonts w:hint="eastAsia" w:ascii="宋体" w:hAnsi="宋体" w:eastAsia="宋体" w:cs="宋体"/>
                <w:b/>
                <w:color w:val="000000"/>
                <w:szCs w:val="28"/>
              </w:rPr>
              <w:t>工作单位</w:t>
            </w:r>
          </w:p>
        </w:tc>
        <w:tc>
          <w:tcPr>
            <w:tcW w:w="1175" w:type="pct"/>
            <w:vAlign w:val="center"/>
          </w:tcPr>
          <w:p>
            <w:pPr>
              <w:adjustRightInd w:val="0"/>
              <w:spacing w:line="600" w:lineRule="exact"/>
              <w:jc w:val="left"/>
              <w:rPr>
                <w:rFonts w:ascii="宋体" w:hAnsi="宋体" w:eastAsia="宋体" w:cs="宋体"/>
                <w:b/>
                <w:color w:val="000000"/>
                <w:szCs w:val="28"/>
              </w:rPr>
            </w:pPr>
            <w:r>
              <w:rPr>
                <w:rFonts w:hint="eastAsia" w:ascii="宋体" w:hAnsi="宋体" w:eastAsia="宋体" w:cs="宋体"/>
                <w:b/>
                <w:color w:val="000000"/>
                <w:szCs w:val="28"/>
              </w:rPr>
              <w:t xml:space="preserve">职称/职务 </w:t>
            </w:r>
          </w:p>
        </w:tc>
        <w:tc>
          <w:tcPr>
            <w:tcW w:w="1109" w:type="pct"/>
            <w:vAlign w:val="center"/>
          </w:tcPr>
          <w:p>
            <w:pPr>
              <w:adjustRightInd w:val="0"/>
              <w:spacing w:line="600" w:lineRule="exact"/>
              <w:jc w:val="left"/>
              <w:rPr>
                <w:rFonts w:ascii="宋体" w:hAnsi="宋体" w:eastAsia="宋体" w:cs="宋体"/>
                <w:b/>
                <w:color w:val="000000"/>
                <w:szCs w:val="28"/>
              </w:rPr>
            </w:pPr>
            <w:r>
              <w:rPr>
                <w:rFonts w:hint="eastAsia" w:ascii="宋体" w:hAnsi="宋体" w:eastAsia="宋体" w:cs="宋体"/>
                <w:b/>
                <w:color w:val="000000"/>
                <w:szCs w:val="28"/>
              </w:rPr>
              <w:t>项目分工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trPr>
        <w:tc>
          <w:tcPr>
            <w:tcW w:w="748"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李色东</w:t>
            </w:r>
          </w:p>
        </w:tc>
        <w:tc>
          <w:tcPr>
            <w:tcW w:w="672"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男</w:t>
            </w:r>
          </w:p>
        </w:tc>
        <w:tc>
          <w:tcPr>
            <w:tcW w:w="1294"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南方海洋科学与科学广东省实验室（湛江）</w:t>
            </w:r>
          </w:p>
        </w:tc>
        <w:tc>
          <w:tcPr>
            <w:tcW w:w="1175"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教授级高工/所长</w:t>
            </w:r>
          </w:p>
        </w:tc>
        <w:tc>
          <w:tcPr>
            <w:tcW w:w="1109" w:type="pct"/>
            <w:vAlign w:val="center"/>
          </w:tcPr>
          <w:p>
            <w:pPr>
              <w:adjustRightInd w:val="0"/>
              <w:snapToGrid w:val="0"/>
              <w:rPr>
                <w:rFonts w:ascii="宋体" w:hAnsi="宋体" w:eastAsia="宋体" w:cs="宋体"/>
                <w:color w:val="000000"/>
                <w:szCs w:val="21"/>
              </w:rPr>
            </w:pPr>
            <w:r>
              <w:rPr>
                <w:rFonts w:hint="eastAsia" w:ascii="宋体" w:hAnsi="宋体" w:eastAsia="宋体" w:cs="宋体"/>
                <w:color w:val="000000"/>
                <w:szCs w:val="21"/>
              </w:rPr>
              <w:t>项目主持人，负责项目的管理与组织协调；制定编写方案；编写标准草案和标准编制说明；汇总标准审定意见，直至形成报批稿。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748"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章建设</w:t>
            </w:r>
          </w:p>
        </w:tc>
        <w:tc>
          <w:tcPr>
            <w:tcW w:w="672"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男</w:t>
            </w:r>
          </w:p>
        </w:tc>
        <w:tc>
          <w:tcPr>
            <w:tcW w:w="1294"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kern w:val="0"/>
                <w:lang w:bidi="zh-CN"/>
              </w:rPr>
              <w:t>广东省湛江市质量技术监督标准与编码所</w:t>
            </w:r>
          </w:p>
        </w:tc>
        <w:tc>
          <w:tcPr>
            <w:tcW w:w="1175"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kern w:val="0"/>
                <w:lang w:bidi="zh-CN"/>
              </w:rPr>
              <w:t>高级工程师</w:t>
            </w:r>
          </w:p>
        </w:tc>
        <w:tc>
          <w:tcPr>
            <w:tcW w:w="1109" w:type="pct"/>
            <w:vAlign w:val="center"/>
          </w:tcPr>
          <w:p>
            <w:pPr>
              <w:adjustRightInd w:val="0"/>
              <w:snapToGrid w:val="0"/>
              <w:rPr>
                <w:rFonts w:ascii="宋体" w:hAnsi="宋体" w:eastAsia="宋体" w:cs="宋体"/>
                <w:color w:val="000000"/>
                <w:szCs w:val="21"/>
              </w:rPr>
            </w:pPr>
            <w:r>
              <w:rPr>
                <w:rFonts w:hint="eastAsia" w:ascii="宋体" w:hAnsi="宋体" w:eastAsia="宋体" w:cs="宋体"/>
                <w:color w:val="000000"/>
                <w:szCs w:val="21"/>
              </w:rPr>
              <w:t>标准编制组成员。负责修改标准和</w:t>
            </w:r>
          </w:p>
          <w:p>
            <w:pPr>
              <w:adjustRightInd w:val="0"/>
              <w:snapToGrid w:val="0"/>
              <w:rPr>
                <w:rFonts w:ascii="宋体" w:hAnsi="宋体" w:eastAsia="宋体" w:cs="宋体"/>
                <w:color w:val="000000"/>
                <w:szCs w:val="21"/>
              </w:rPr>
            </w:pPr>
            <w:r>
              <w:rPr>
                <w:rFonts w:hint="eastAsia" w:ascii="宋体" w:hAnsi="宋体" w:eastAsia="宋体" w:cs="宋体"/>
                <w:color w:val="000000"/>
                <w:szCs w:val="21"/>
              </w:rPr>
              <w:t>编制说明。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748"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冉春丽</w:t>
            </w:r>
          </w:p>
        </w:tc>
        <w:tc>
          <w:tcPr>
            <w:tcW w:w="672"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女</w:t>
            </w:r>
          </w:p>
        </w:tc>
        <w:tc>
          <w:tcPr>
            <w:tcW w:w="1294"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广东恒兴集团有限公司</w:t>
            </w:r>
          </w:p>
        </w:tc>
        <w:tc>
          <w:tcPr>
            <w:tcW w:w="1175"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高级工程师/总经理</w:t>
            </w:r>
          </w:p>
        </w:tc>
        <w:tc>
          <w:tcPr>
            <w:tcW w:w="1109"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收集卵形鲳鲹苗种繁育有关技术资料的收集；征求意见并分析汇总。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748"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付光中</w:t>
            </w:r>
          </w:p>
        </w:tc>
        <w:tc>
          <w:tcPr>
            <w:tcW w:w="672"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男</w:t>
            </w:r>
          </w:p>
        </w:tc>
        <w:tc>
          <w:tcPr>
            <w:tcW w:w="1294"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kern w:val="0"/>
                <w:lang w:bidi="zh-CN"/>
              </w:rPr>
              <w:t>广东省湛江市质量技术监督标准与编码所</w:t>
            </w:r>
          </w:p>
        </w:tc>
        <w:tc>
          <w:tcPr>
            <w:tcW w:w="1175"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kern w:val="0"/>
                <w:lang w:bidi="zh-CN"/>
              </w:rPr>
              <w:t>高级工程师</w:t>
            </w:r>
          </w:p>
        </w:tc>
        <w:tc>
          <w:tcPr>
            <w:tcW w:w="1109" w:type="pct"/>
            <w:vAlign w:val="center"/>
          </w:tcPr>
          <w:p>
            <w:pPr>
              <w:adjustRightInd w:val="0"/>
              <w:snapToGrid w:val="0"/>
              <w:rPr>
                <w:rFonts w:ascii="宋体" w:hAnsi="宋体" w:eastAsia="宋体" w:cs="宋体"/>
                <w:color w:val="000000"/>
                <w:szCs w:val="21"/>
              </w:rPr>
            </w:pPr>
            <w:r>
              <w:rPr>
                <w:rFonts w:hint="eastAsia" w:ascii="宋体" w:hAnsi="宋体" w:eastAsia="宋体" w:cs="宋体"/>
                <w:color w:val="000000"/>
                <w:szCs w:val="21"/>
              </w:rPr>
              <w:t>标准编制组成员。负责修改标准和</w:t>
            </w:r>
          </w:p>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编制说明。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748"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陈南雄</w:t>
            </w:r>
          </w:p>
        </w:tc>
        <w:tc>
          <w:tcPr>
            <w:tcW w:w="672"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男</w:t>
            </w:r>
          </w:p>
        </w:tc>
        <w:tc>
          <w:tcPr>
            <w:tcW w:w="1294"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南方海洋科学与科学广东省实验室（湛江）</w:t>
            </w:r>
          </w:p>
        </w:tc>
        <w:tc>
          <w:tcPr>
            <w:tcW w:w="1175"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科研助理</w:t>
            </w:r>
          </w:p>
        </w:tc>
        <w:tc>
          <w:tcPr>
            <w:tcW w:w="1109"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收集标准草案的意见分析汇总，形成征求意见稿。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748"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刘永奎</w:t>
            </w:r>
          </w:p>
        </w:tc>
        <w:tc>
          <w:tcPr>
            <w:tcW w:w="672"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男</w:t>
            </w:r>
          </w:p>
        </w:tc>
        <w:tc>
          <w:tcPr>
            <w:tcW w:w="1294"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南方海洋科学与科学广东省实验室（湛江）</w:t>
            </w:r>
          </w:p>
        </w:tc>
        <w:tc>
          <w:tcPr>
            <w:tcW w:w="1175"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中级工程师/实习研究员</w:t>
            </w:r>
          </w:p>
        </w:tc>
        <w:tc>
          <w:tcPr>
            <w:tcW w:w="1109"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有关技术、试验数据与参数的验证。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748" w:type="pct"/>
            <w:vAlign w:val="center"/>
          </w:tcPr>
          <w:p>
            <w:pPr>
              <w:adjustRightInd w:val="0"/>
              <w:snapToGrid w:val="0"/>
              <w:jc w:val="left"/>
              <w:rPr>
                <w:rFonts w:hint="eastAsia" w:ascii="宋体" w:hAnsi="宋体" w:eastAsia="宋体" w:cs="宋体"/>
                <w:color w:val="000000"/>
                <w:szCs w:val="21"/>
              </w:rPr>
            </w:pPr>
            <w:r>
              <w:rPr>
                <w:rFonts w:hint="eastAsia" w:ascii="宋体" w:hAnsi="宋体" w:eastAsia="宋体" w:cs="宋体"/>
                <w:color w:val="000000"/>
                <w:szCs w:val="21"/>
              </w:rPr>
              <w:t>靳娇娇</w:t>
            </w:r>
          </w:p>
        </w:tc>
        <w:tc>
          <w:tcPr>
            <w:tcW w:w="672" w:type="pct"/>
            <w:vAlign w:val="center"/>
          </w:tcPr>
          <w:p>
            <w:pPr>
              <w:adjustRightInd w:val="0"/>
              <w:snapToGrid w:val="0"/>
              <w:jc w:val="left"/>
              <w:rPr>
                <w:rFonts w:hint="eastAsia" w:ascii="宋体" w:hAnsi="宋体" w:eastAsia="宋体" w:cs="宋体"/>
                <w:color w:val="000000"/>
                <w:szCs w:val="21"/>
              </w:rPr>
            </w:pPr>
            <w:r>
              <w:rPr>
                <w:rFonts w:hint="eastAsia" w:ascii="宋体" w:hAnsi="宋体" w:eastAsia="宋体" w:cs="宋体"/>
                <w:color w:val="000000"/>
                <w:szCs w:val="21"/>
              </w:rPr>
              <w:t>女</w:t>
            </w:r>
          </w:p>
        </w:tc>
        <w:tc>
          <w:tcPr>
            <w:tcW w:w="1294" w:type="pct"/>
            <w:vAlign w:val="center"/>
          </w:tcPr>
          <w:p>
            <w:pPr>
              <w:adjustRightInd w:val="0"/>
              <w:snapToGrid w:val="0"/>
              <w:jc w:val="left"/>
              <w:rPr>
                <w:rFonts w:hint="eastAsia" w:ascii="宋体" w:hAnsi="宋体" w:eastAsia="宋体" w:cs="宋体"/>
                <w:color w:val="000000"/>
                <w:szCs w:val="21"/>
              </w:rPr>
            </w:pPr>
            <w:r>
              <w:rPr>
                <w:rFonts w:hint="eastAsia" w:ascii="宋体" w:hAnsi="宋体" w:eastAsia="宋体" w:cs="宋体"/>
                <w:color w:val="000000"/>
                <w:szCs w:val="21"/>
              </w:rPr>
              <w:t>南方海洋科学与科学广东省实验室（湛江）</w:t>
            </w:r>
          </w:p>
        </w:tc>
        <w:tc>
          <w:tcPr>
            <w:tcW w:w="1175" w:type="pct"/>
            <w:vAlign w:val="center"/>
          </w:tcPr>
          <w:p>
            <w:pPr>
              <w:adjustRightInd w:val="0"/>
              <w:snapToGrid w:val="0"/>
              <w:jc w:val="left"/>
              <w:rPr>
                <w:rFonts w:hint="eastAsia" w:ascii="宋体" w:hAnsi="宋体" w:eastAsia="宋体" w:cs="宋体"/>
                <w:color w:val="000000"/>
                <w:szCs w:val="21"/>
              </w:rPr>
            </w:pPr>
            <w:r>
              <w:rPr>
                <w:rFonts w:hint="eastAsia" w:ascii="宋体" w:hAnsi="宋体" w:eastAsia="宋体" w:cs="宋体"/>
                <w:color w:val="000000"/>
                <w:szCs w:val="21"/>
              </w:rPr>
              <w:t>科研助理</w:t>
            </w:r>
          </w:p>
        </w:tc>
        <w:tc>
          <w:tcPr>
            <w:tcW w:w="1109" w:type="pct"/>
            <w:vAlign w:val="center"/>
          </w:tcPr>
          <w:p>
            <w:pPr>
              <w:adjustRightInd w:val="0"/>
              <w:snapToGrid w:val="0"/>
              <w:jc w:val="left"/>
              <w:rPr>
                <w:rFonts w:hint="eastAsia" w:ascii="宋体" w:hAnsi="宋体" w:eastAsia="宋体" w:cs="宋体"/>
                <w:color w:val="000000"/>
                <w:szCs w:val="21"/>
              </w:rPr>
            </w:pPr>
            <w:r>
              <w:rPr>
                <w:rFonts w:hint="eastAsia" w:ascii="宋体" w:hAnsi="宋体" w:eastAsia="宋体" w:cs="宋体"/>
                <w:color w:val="000000"/>
                <w:szCs w:val="21"/>
              </w:rPr>
              <w:t>有关技术、试验数据与参数的验证。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748"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龚永</w:t>
            </w:r>
          </w:p>
        </w:tc>
        <w:tc>
          <w:tcPr>
            <w:tcW w:w="672"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男</w:t>
            </w:r>
          </w:p>
        </w:tc>
        <w:tc>
          <w:tcPr>
            <w:tcW w:w="1294"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广东恒兴集团有限公司</w:t>
            </w:r>
          </w:p>
        </w:tc>
        <w:tc>
          <w:tcPr>
            <w:tcW w:w="1175"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生产技术部经理</w:t>
            </w:r>
          </w:p>
        </w:tc>
        <w:tc>
          <w:tcPr>
            <w:tcW w:w="1109"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收集卵形鲳鲹苗种繁育有关技术资料的收集；征求意见并分析汇总。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748" w:type="pct"/>
            <w:vAlign w:val="center"/>
          </w:tcPr>
          <w:p>
            <w:pPr>
              <w:adjustRightInd w:val="0"/>
              <w:snapToGrid w:val="0"/>
              <w:jc w:val="left"/>
              <w:rPr>
                <w:rFonts w:hint="eastAsia" w:ascii="宋体" w:hAnsi="宋体" w:eastAsia="宋体" w:cs="宋体"/>
                <w:color w:val="000000"/>
                <w:szCs w:val="21"/>
              </w:rPr>
            </w:pPr>
            <w:r>
              <w:rPr>
                <w:rFonts w:hint="eastAsia" w:ascii="宋体" w:hAnsi="宋体" w:eastAsia="宋体" w:cs="宋体"/>
                <w:color w:val="000000"/>
                <w:szCs w:val="21"/>
              </w:rPr>
              <w:t>吴子杰</w:t>
            </w:r>
          </w:p>
        </w:tc>
        <w:tc>
          <w:tcPr>
            <w:tcW w:w="672" w:type="pct"/>
            <w:vAlign w:val="center"/>
          </w:tcPr>
          <w:p>
            <w:pPr>
              <w:adjustRightInd w:val="0"/>
              <w:snapToGrid w:val="0"/>
              <w:jc w:val="left"/>
              <w:rPr>
                <w:rFonts w:hint="eastAsia" w:ascii="宋体" w:hAnsi="宋体" w:eastAsia="宋体" w:cs="宋体"/>
                <w:color w:val="000000"/>
                <w:szCs w:val="21"/>
              </w:rPr>
            </w:pPr>
            <w:r>
              <w:rPr>
                <w:rFonts w:hint="eastAsia" w:ascii="宋体" w:hAnsi="宋体" w:eastAsia="宋体" w:cs="宋体"/>
                <w:color w:val="000000"/>
                <w:szCs w:val="21"/>
              </w:rPr>
              <w:t>男</w:t>
            </w:r>
          </w:p>
        </w:tc>
        <w:tc>
          <w:tcPr>
            <w:tcW w:w="1294" w:type="pct"/>
            <w:vAlign w:val="center"/>
          </w:tcPr>
          <w:p>
            <w:pPr>
              <w:adjustRightInd w:val="0"/>
              <w:snapToGrid w:val="0"/>
              <w:jc w:val="left"/>
              <w:rPr>
                <w:rFonts w:hint="eastAsia" w:ascii="宋体" w:hAnsi="宋体" w:eastAsia="宋体" w:cs="宋体"/>
                <w:color w:val="000000"/>
                <w:szCs w:val="21"/>
              </w:rPr>
            </w:pPr>
            <w:r>
              <w:rPr>
                <w:rFonts w:hint="eastAsia" w:ascii="宋体" w:hAnsi="宋体" w:eastAsia="宋体" w:cs="宋体"/>
                <w:color w:val="000000"/>
                <w:szCs w:val="21"/>
              </w:rPr>
              <w:t>南方海洋科学与科学广东省实验室（湛江）</w:t>
            </w:r>
          </w:p>
        </w:tc>
        <w:tc>
          <w:tcPr>
            <w:tcW w:w="1175" w:type="pct"/>
            <w:vAlign w:val="center"/>
          </w:tcPr>
          <w:p>
            <w:pPr>
              <w:adjustRightInd w:val="0"/>
              <w:snapToGrid w:val="0"/>
              <w:jc w:val="left"/>
              <w:rPr>
                <w:rFonts w:hint="eastAsia" w:ascii="宋体" w:hAnsi="宋体" w:eastAsia="宋体" w:cs="宋体"/>
                <w:color w:val="000000"/>
                <w:szCs w:val="21"/>
              </w:rPr>
            </w:pPr>
            <w:r>
              <w:rPr>
                <w:rFonts w:hint="eastAsia" w:ascii="宋体" w:hAnsi="宋体" w:eastAsia="宋体" w:cs="宋体"/>
                <w:color w:val="000000"/>
                <w:szCs w:val="21"/>
              </w:rPr>
              <w:t>科研助理</w:t>
            </w:r>
          </w:p>
        </w:tc>
        <w:tc>
          <w:tcPr>
            <w:tcW w:w="1109" w:type="pct"/>
            <w:vAlign w:val="center"/>
          </w:tcPr>
          <w:p>
            <w:pPr>
              <w:adjustRightInd w:val="0"/>
              <w:snapToGrid w:val="0"/>
              <w:jc w:val="left"/>
              <w:rPr>
                <w:rFonts w:hint="eastAsia" w:ascii="宋体" w:hAnsi="宋体" w:eastAsia="宋体" w:cs="宋体"/>
                <w:color w:val="000000"/>
                <w:szCs w:val="21"/>
              </w:rPr>
            </w:pPr>
            <w:r>
              <w:rPr>
                <w:rFonts w:hint="eastAsia" w:ascii="宋体" w:hAnsi="宋体" w:eastAsia="宋体" w:cs="宋体"/>
                <w:color w:val="000000"/>
                <w:szCs w:val="21"/>
              </w:rPr>
              <w:t>有关技术、试验数据与参数的验证。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748" w:type="pct"/>
            <w:vAlign w:val="center"/>
          </w:tcPr>
          <w:p>
            <w:pPr>
              <w:adjustRightInd w:val="0"/>
              <w:snapToGrid w:val="0"/>
              <w:jc w:val="left"/>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刁兴旺</w:t>
            </w:r>
          </w:p>
        </w:tc>
        <w:tc>
          <w:tcPr>
            <w:tcW w:w="1145" w:type="dxa"/>
            <w:vAlign w:val="center"/>
          </w:tcPr>
          <w:p>
            <w:pPr>
              <w:adjustRightInd w:val="0"/>
              <w:snapToGrid w:val="0"/>
              <w:jc w:val="left"/>
              <w:rPr>
                <w:rFonts w:hint="eastAsia" w:ascii="宋体" w:hAnsi="宋体" w:eastAsia="宋体" w:cs="宋体"/>
                <w:color w:val="000000"/>
                <w:szCs w:val="21"/>
              </w:rPr>
            </w:pPr>
            <w:r>
              <w:rPr>
                <w:rFonts w:hint="eastAsia" w:ascii="宋体" w:hAnsi="宋体" w:eastAsia="宋体" w:cs="宋体"/>
                <w:color w:val="000000"/>
                <w:szCs w:val="21"/>
              </w:rPr>
              <w:t>男</w:t>
            </w:r>
          </w:p>
        </w:tc>
        <w:tc>
          <w:tcPr>
            <w:tcW w:w="2205" w:type="dxa"/>
            <w:vAlign w:val="center"/>
          </w:tcPr>
          <w:p>
            <w:pPr>
              <w:adjustRightInd w:val="0"/>
              <w:snapToGrid w:val="0"/>
              <w:jc w:val="left"/>
              <w:rPr>
                <w:rFonts w:hint="eastAsia" w:ascii="宋体" w:hAnsi="宋体" w:eastAsia="宋体" w:cs="宋体"/>
                <w:color w:val="000000"/>
                <w:szCs w:val="21"/>
              </w:rPr>
            </w:pPr>
            <w:r>
              <w:rPr>
                <w:rFonts w:hint="eastAsia" w:ascii="宋体" w:hAnsi="宋体" w:eastAsia="宋体" w:cs="宋体"/>
                <w:kern w:val="0"/>
                <w:lang w:bidi="zh-CN"/>
              </w:rPr>
              <w:t>广东省湛江市质量技术监督标准与编码所</w:t>
            </w:r>
          </w:p>
        </w:tc>
        <w:tc>
          <w:tcPr>
            <w:tcW w:w="1175" w:type="pct"/>
            <w:vAlign w:val="center"/>
          </w:tcPr>
          <w:p>
            <w:pPr>
              <w:adjustRightInd w:val="0"/>
              <w:snapToGrid w:val="0"/>
              <w:jc w:val="left"/>
              <w:rPr>
                <w:rFonts w:hint="eastAsia" w:ascii="宋体" w:hAnsi="宋体" w:eastAsia="宋体" w:cs="宋体"/>
                <w:color w:val="000000"/>
                <w:szCs w:val="21"/>
              </w:rPr>
            </w:pPr>
            <w:r>
              <w:rPr>
                <w:rFonts w:hint="eastAsia" w:ascii="宋体" w:hAnsi="宋体" w:eastAsia="宋体" w:cs="宋体"/>
                <w:color w:val="000000"/>
                <w:szCs w:val="21"/>
              </w:rPr>
              <w:t>标准化助理工程师</w:t>
            </w:r>
          </w:p>
        </w:tc>
        <w:tc>
          <w:tcPr>
            <w:tcW w:w="1109" w:type="pct"/>
            <w:vAlign w:val="center"/>
          </w:tcPr>
          <w:p>
            <w:pPr>
              <w:adjustRightInd w:val="0"/>
              <w:snapToGrid w:val="0"/>
              <w:rPr>
                <w:rFonts w:ascii="宋体" w:hAnsi="宋体" w:eastAsia="宋体" w:cs="宋体"/>
                <w:color w:val="000000"/>
                <w:szCs w:val="21"/>
              </w:rPr>
            </w:pPr>
            <w:r>
              <w:rPr>
                <w:rFonts w:hint="eastAsia" w:ascii="宋体" w:hAnsi="宋体" w:eastAsia="宋体" w:cs="宋体"/>
                <w:color w:val="000000"/>
                <w:szCs w:val="21"/>
              </w:rPr>
              <w:t>标准编制组成员。负责修改标准和</w:t>
            </w:r>
          </w:p>
          <w:p>
            <w:pPr>
              <w:adjustRightInd w:val="0"/>
              <w:snapToGrid w:val="0"/>
              <w:jc w:val="left"/>
              <w:rPr>
                <w:rFonts w:hint="eastAsia" w:ascii="宋体" w:hAnsi="宋体" w:eastAsia="宋体" w:cs="宋体"/>
                <w:color w:val="000000"/>
                <w:szCs w:val="21"/>
              </w:rPr>
            </w:pPr>
            <w:r>
              <w:rPr>
                <w:rFonts w:hint="eastAsia" w:ascii="宋体" w:hAnsi="宋体" w:eastAsia="宋体" w:cs="宋体"/>
                <w:color w:val="000000"/>
                <w:szCs w:val="21"/>
              </w:rPr>
              <w:t>编制说明。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748"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费芳芳</w:t>
            </w:r>
          </w:p>
        </w:tc>
        <w:tc>
          <w:tcPr>
            <w:tcW w:w="672"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女</w:t>
            </w:r>
          </w:p>
        </w:tc>
        <w:tc>
          <w:tcPr>
            <w:tcW w:w="1294"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南方海洋科学与科学广东省实验室（湛江）</w:t>
            </w:r>
          </w:p>
        </w:tc>
        <w:tc>
          <w:tcPr>
            <w:tcW w:w="1175"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高级工程师/项目专员</w:t>
            </w:r>
          </w:p>
        </w:tc>
        <w:tc>
          <w:tcPr>
            <w:tcW w:w="1109" w:type="pct"/>
            <w:vAlign w:val="center"/>
          </w:tcPr>
          <w:p>
            <w:pPr>
              <w:adjustRightInd w:val="0"/>
              <w:snapToGrid w:val="0"/>
              <w:jc w:val="left"/>
              <w:rPr>
                <w:rFonts w:ascii="宋体" w:hAnsi="宋体" w:eastAsia="宋体" w:cs="宋体"/>
                <w:color w:val="000000"/>
                <w:szCs w:val="21"/>
              </w:rPr>
            </w:pPr>
            <w:r>
              <w:rPr>
                <w:rFonts w:hint="eastAsia" w:ascii="宋体" w:hAnsi="宋体" w:eastAsia="宋体" w:cs="宋体"/>
                <w:color w:val="000000"/>
                <w:szCs w:val="21"/>
              </w:rPr>
              <w:t>有关技术、试验数据与参数的验证。</w:t>
            </w:r>
          </w:p>
        </w:tc>
      </w:tr>
    </w:tbl>
    <w:p>
      <w:pPr>
        <w:spacing w:line="360" w:lineRule="auto"/>
        <w:ind w:firstLine="480" w:firstLineChars="200"/>
        <w:jc w:val="left"/>
        <w:rPr>
          <w:rFonts w:ascii="Times New Roman" w:hAnsi="Times New Roman" w:eastAsia="宋体" w:cs="宋体"/>
          <w:color w:val="000000"/>
          <w:sz w:val="24"/>
        </w:rPr>
      </w:pPr>
    </w:p>
    <w:p>
      <w:pPr>
        <w:pStyle w:val="2"/>
      </w:pPr>
      <w:r>
        <w:t xml:space="preserve">二、标准编制原则和标准主要内容及确定依据 </w:t>
      </w:r>
    </w:p>
    <w:p>
      <w:pPr>
        <w:pStyle w:val="7"/>
        <w:numPr>
          <w:ilvl w:val="0"/>
          <w:numId w:val="4"/>
        </w:numPr>
        <w:rPr>
          <w:rStyle w:val="12"/>
          <w:rFonts w:ascii="黑体" w:hAnsi="黑体" w:cs="黑体"/>
          <w:b w:val="0"/>
          <w:bCs w:val="0"/>
        </w:rPr>
      </w:pPr>
      <w:r>
        <w:rPr>
          <w:rStyle w:val="12"/>
          <w:rFonts w:hint="eastAsia" w:ascii="黑体" w:hAnsi="黑体" w:cs="黑体"/>
          <w:b w:val="0"/>
          <w:bCs w:val="0"/>
        </w:rPr>
        <w:t>编制原则</w:t>
      </w:r>
    </w:p>
    <w:p>
      <w:pPr>
        <w:spacing w:line="360" w:lineRule="auto"/>
        <w:ind w:firstLine="480" w:firstLineChars="200"/>
        <w:jc w:val="left"/>
        <w:rPr>
          <w:rFonts w:ascii="Times New Roman" w:hAnsi="Times New Roman" w:eastAsia="宋体" w:cs="宋体"/>
          <w:color w:val="000000"/>
          <w:sz w:val="24"/>
        </w:rPr>
      </w:pPr>
      <w:r>
        <w:rPr>
          <w:rFonts w:hint="eastAsia" w:ascii="Times New Roman" w:hAnsi="Times New Roman" w:eastAsia="宋体" w:cs="宋体"/>
          <w:color w:val="000000"/>
          <w:sz w:val="24"/>
        </w:rPr>
        <w:t xml:space="preserve">本标准的结构、技术要素及表述方法按照《标准化工作导则 第 </w:t>
      </w:r>
      <w:r>
        <w:rPr>
          <w:rFonts w:ascii="Times New Roman" w:hAnsi="Times New Roman" w:eastAsia="宋体" w:cs="宋体"/>
          <w:color w:val="000000"/>
          <w:sz w:val="24"/>
        </w:rPr>
        <w:t xml:space="preserve">1 </w:t>
      </w:r>
      <w:r>
        <w:rPr>
          <w:rFonts w:hint="eastAsia" w:ascii="Times New Roman" w:hAnsi="Times New Roman" w:eastAsia="宋体" w:cs="宋体"/>
          <w:color w:val="000000"/>
          <w:sz w:val="24"/>
        </w:rPr>
        <w:t xml:space="preserve">部分：标 </w:t>
      </w:r>
    </w:p>
    <w:p>
      <w:pPr>
        <w:spacing w:line="360" w:lineRule="auto"/>
        <w:rPr>
          <w:rFonts w:ascii="Times New Roman" w:hAnsi="Times New Roman" w:eastAsia="宋体" w:cs="宋体"/>
          <w:color w:val="000000"/>
          <w:sz w:val="24"/>
        </w:rPr>
      </w:pPr>
      <w:r>
        <w:rPr>
          <w:rFonts w:hint="eastAsia" w:ascii="Times New Roman" w:hAnsi="Times New Roman" w:eastAsia="宋体" w:cs="宋体"/>
          <w:color w:val="000000"/>
          <w:sz w:val="24"/>
        </w:rPr>
        <w:t>准的结构和编写规则》（</w:t>
      </w:r>
      <w:r>
        <w:rPr>
          <w:rFonts w:ascii="Times New Roman" w:hAnsi="Times New Roman" w:eastAsia="宋体" w:cs="宋体"/>
          <w:color w:val="000000"/>
          <w:sz w:val="24"/>
        </w:rPr>
        <w:t>GB/T 1.1—2020</w:t>
      </w:r>
      <w:r>
        <w:rPr>
          <w:rFonts w:hint="eastAsia" w:ascii="Times New Roman" w:hAnsi="Times New Roman" w:eastAsia="宋体" w:cs="宋体"/>
          <w:color w:val="000000"/>
          <w:sz w:val="24"/>
        </w:rPr>
        <w:t>）。重点突出对影响卵形鲳鲹大规格鱼种培育过程中的鱼种培育环境选择、陆基鱼种培育、海上网箱培育的操作指示及转换条件等关键点的控制，对于正常生产情况下不易超标的指标则不作规定，以避免无效指标。在编制过程中，凡国家相关强制性标准、法律法规已有规定的，本标准与其保持一致；对于在卵形鲳鲹相关标准中已有规定，但已不能满足当前卵形鲳鲹大规格鱼种培育生产水平的，以及国家现行标准中尚未统一规定的指标，本标准将根据我国卵形鲳鲹繁育技术最新发展，并参考国内外有关资料进行制定和修订，力求使本标准达到应有的先进性、通用性、科学性和可操作性。</w:t>
      </w:r>
    </w:p>
    <w:p>
      <w:pPr>
        <w:pStyle w:val="7"/>
        <w:keepNext w:val="0"/>
        <w:keepLines w:val="0"/>
        <w:numPr>
          <w:ilvl w:val="0"/>
          <w:numId w:val="4"/>
        </w:numPr>
        <w:rPr>
          <w:rFonts w:eastAsia="宋体" w:cs="宋体"/>
        </w:rPr>
      </w:pPr>
      <w:r>
        <w:rPr>
          <w:rStyle w:val="12"/>
          <w:rFonts w:hint="eastAsia" w:ascii="黑体" w:hAnsi="黑体" w:cs="黑体"/>
          <w:b w:val="0"/>
          <w:bCs w:val="0"/>
          <w:lang w:val="en-US" w:eastAsia="zh-CN"/>
        </w:rPr>
        <w:t>规范性引用文件</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卵形鲳鲹</w:t>
      </w:r>
      <w:r>
        <w:rPr>
          <w:rFonts w:hint="eastAsia" w:ascii="Times New Roman" w:hAnsi="Times New Roman" w:eastAsia="宋体" w:cs="宋体"/>
          <w:color w:val="000000"/>
          <w:sz w:val="24"/>
        </w:rPr>
        <w:t>大规格鱼种培育</w:t>
      </w:r>
      <w:r>
        <w:rPr>
          <w:rFonts w:ascii="Times New Roman" w:hAnsi="Times New Roman" w:eastAsia="宋体" w:cs="宋体"/>
          <w:color w:val="000000"/>
          <w:sz w:val="24"/>
        </w:rPr>
        <w:t>技术属于农业、水产养殖的范畴，国家在农业、水产（渔业）行业制订的许多相关标准同样适用于卵形鲳鲹苗种繁育技术，因此下列标准是制订本标准的主要依据。</w:t>
      </w:r>
    </w:p>
    <w:p>
      <w:pPr>
        <w:spacing w:line="360" w:lineRule="auto"/>
        <w:ind w:firstLine="480" w:firstLineChars="200"/>
        <w:jc w:val="left"/>
        <w:rPr>
          <w:rFonts w:ascii="Times New Roman" w:hAnsi="Times New Roman" w:eastAsia="宋体" w:cs="宋体"/>
          <w:color w:val="000000"/>
          <w:sz w:val="24"/>
        </w:rPr>
      </w:pPr>
      <w:r>
        <w:rPr>
          <w:rFonts w:ascii="Times New Roman" w:hAnsi="Times New Roman" w:eastAsia="宋体" w:cs="宋体"/>
          <w:color w:val="000000"/>
          <w:sz w:val="24"/>
        </w:rPr>
        <w:t>GB 11607 渔业水质标准</w:t>
      </w:r>
    </w:p>
    <w:p>
      <w:pPr>
        <w:spacing w:line="360" w:lineRule="auto"/>
        <w:ind w:firstLine="480" w:firstLineChars="200"/>
        <w:jc w:val="left"/>
        <w:rPr>
          <w:rFonts w:ascii="Times New Roman" w:hAnsi="Times New Roman" w:eastAsia="宋体" w:cs="宋体"/>
          <w:color w:val="000000"/>
          <w:sz w:val="24"/>
        </w:rPr>
      </w:pPr>
      <w:r>
        <w:rPr>
          <w:rFonts w:ascii="Times New Roman" w:hAnsi="Times New Roman" w:eastAsia="宋体" w:cs="宋体"/>
          <w:color w:val="000000"/>
          <w:sz w:val="24"/>
        </w:rPr>
        <w:t>GB/T 20014.13 良好农业规范 第13部部分：水产养殖基础控制点与符合性规范</w:t>
      </w:r>
    </w:p>
    <w:p>
      <w:pPr>
        <w:spacing w:line="360" w:lineRule="auto"/>
        <w:ind w:firstLine="480" w:firstLineChars="200"/>
        <w:jc w:val="left"/>
        <w:rPr>
          <w:rFonts w:ascii="Times New Roman" w:hAnsi="Times New Roman" w:eastAsia="宋体" w:cs="宋体"/>
          <w:color w:val="000000"/>
          <w:sz w:val="24"/>
        </w:rPr>
      </w:pPr>
      <w:r>
        <w:rPr>
          <w:rFonts w:ascii="Times New Roman" w:hAnsi="Times New Roman" w:eastAsia="宋体" w:cs="宋体"/>
          <w:color w:val="000000"/>
          <w:sz w:val="24"/>
        </w:rPr>
        <w:t>GB/T 20014.16 良好农业规范 第16部部分：水产网箱养殖基础控制点与符合性规范</w:t>
      </w:r>
    </w:p>
    <w:p>
      <w:pPr>
        <w:spacing w:line="360" w:lineRule="auto"/>
        <w:ind w:firstLine="480" w:firstLineChars="200"/>
        <w:jc w:val="left"/>
        <w:rPr>
          <w:rFonts w:ascii="Times New Roman" w:hAnsi="Times New Roman" w:eastAsia="宋体" w:cs="宋体"/>
          <w:color w:val="000000"/>
          <w:sz w:val="24"/>
        </w:rPr>
      </w:pPr>
      <w:r>
        <w:rPr>
          <w:rFonts w:hint="eastAsia" w:ascii="Times New Roman" w:hAnsi="Times New Roman" w:eastAsia="宋体" w:cs="宋体"/>
          <w:color w:val="000000"/>
          <w:sz w:val="24"/>
        </w:rPr>
        <w:t>GB/T 34733 海水鱼类刺激隐核虫病诊断规程</w:t>
      </w:r>
    </w:p>
    <w:p>
      <w:pPr>
        <w:spacing w:line="360" w:lineRule="auto"/>
        <w:ind w:firstLine="480" w:firstLineChars="200"/>
        <w:jc w:val="left"/>
        <w:rPr>
          <w:rFonts w:ascii="Times New Roman" w:hAnsi="Times New Roman" w:eastAsia="宋体" w:cs="宋体"/>
          <w:color w:val="000000"/>
          <w:sz w:val="24"/>
        </w:rPr>
      </w:pPr>
      <w:r>
        <w:rPr>
          <w:rFonts w:ascii="Times New Roman" w:hAnsi="Times New Roman" w:eastAsia="宋体" w:cs="宋体"/>
          <w:color w:val="000000"/>
          <w:sz w:val="24"/>
        </w:rPr>
        <w:t>NY/T 3474 卵形鲳鲹配合饲料</w:t>
      </w:r>
    </w:p>
    <w:p>
      <w:pPr>
        <w:spacing w:line="360" w:lineRule="auto"/>
        <w:ind w:firstLine="480" w:firstLineChars="200"/>
        <w:jc w:val="left"/>
        <w:rPr>
          <w:rFonts w:ascii="Times New Roman" w:hAnsi="Times New Roman" w:eastAsia="宋体" w:cs="宋体"/>
          <w:color w:val="000000"/>
          <w:sz w:val="24"/>
        </w:rPr>
      </w:pPr>
      <w:r>
        <w:rPr>
          <w:rFonts w:ascii="Times New Roman" w:hAnsi="Times New Roman" w:eastAsia="宋体" w:cs="宋体"/>
          <w:color w:val="000000"/>
          <w:sz w:val="24"/>
        </w:rPr>
        <w:t>SC/T 1075 鱼苗、鱼种运输通用技术要要求</w:t>
      </w:r>
    </w:p>
    <w:p>
      <w:pPr>
        <w:spacing w:line="360" w:lineRule="auto"/>
        <w:ind w:firstLine="480" w:firstLineChars="200"/>
        <w:jc w:val="left"/>
        <w:rPr>
          <w:rFonts w:ascii="Times New Roman" w:hAnsi="Times New Roman" w:eastAsia="宋体" w:cs="宋体"/>
          <w:color w:val="000000"/>
          <w:sz w:val="24"/>
        </w:rPr>
      </w:pPr>
      <w:r>
        <w:rPr>
          <w:rFonts w:ascii="Times New Roman" w:hAnsi="Times New Roman" w:eastAsia="宋体" w:cs="宋体"/>
          <w:color w:val="000000"/>
          <w:sz w:val="24"/>
        </w:rPr>
        <w:t>SC/T 1132 渔药使用规范</w:t>
      </w:r>
    </w:p>
    <w:p>
      <w:pPr>
        <w:spacing w:line="360" w:lineRule="auto"/>
        <w:ind w:firstLine="480" w:firstLineChars="200"/>
        <w:jc w:val="left"/>
        <w:rPr>
          <w:rFonts w:ascii="Times New Roman" w:hAnsi="Times New Roman" w:eastAsia="宋体" w:cs="宋体"/>
          <w:color w:val="000000"/>
          <w:sz w:val="24"/>
        </w:rPr>
      </w:pPr>
      <w:r>
        <w:rPr>
          <w:rFonts w:ascii="Times New Roman" w:hAnsi="Times New Roman" w:eastAsia="宋体" w:cs="宋体"/>
          <w:color w:val="000000"/>
          <w:sz w:val="24"/>
        </w:rPr>
        <w:t>SC/T 2044 卵形鲳鲹 亲鱼和苗种</w:t>
      </w:r>
    </w:p>
    <w:p>
      <w:pPr>
        <w:spacing w:line="360" w:lineRule="auto"/>
        <w:ind w:firstLine="480" w:firstLineChars="200"/>
        <w:jc w:val="left"/>
        <w:rPr>
          <w:rFonts w:ascii="Times New Roman" w:hAnsi="Times New Roman" w:eastAsia="宋体" w:cs="宋体"/>
          <w:color w:val="000000"/>
          <w:sz w:val="24"/>
        </w:rPr>
      </w:pPr>
      <w:r>
        <w:rPr>
          <w:rFonts w:hint="eastAsia" w:ascii="Times New Roman" w:hAnsi="Times New Roman" w:eastAsia="宋体" w:cs="宋体"/>
          <w:color w:val="000000"/>
          <w:sz w:val="24"/>
        </w:rPr>
        <w:t>SC/T 7216 鱼类病毒性神经坏死病（VNN）诊断技术规程</w:t>
      </w:r>
    </w:p>
    <w:p>
      <w:pPr>
        <w:spacing w:line="360" w:lineRule="auto"/>
        <w:ind w:firstLine="480" w:firstLineChars="200"/>
        <w:jc w:val="left"/>
        <w:rPr>
          <w:rFonts w:hint="eastAsia" w:ascii="Times New Roman" w:hAnsi="Times New Roman" w:eastAsia="宋体" w:cs="宋体"/>
          <w:color w:val="000000"/>
          <w:sz w:val="24"/>
        </w:rPr>
      </w:pPr>
      <w:r>
        <w:rPr>
          <w:rFonts w:ascii="Times New Roman" w:hAnsi="Times New Roman" w:eastAsia="宋体" w:cs="宋体"/>
          <w:color w:val="000000"/>
          <w:sz w:val="24"/>
        </w:rPr>
        <w:t>DD4408/T 14 卵形鲳鲹 鱼苗和鱼种</w:t>
      </w:r>
    </w:p>
    <w:p>
      <w:pPr>
        <w:pStyle w:val="7"/>
        <w:numPr>
          <w:ilvl w:val="0"/>
          <w:numId w:val="4"/>
        </w:numPr>
        <w:rPr>
          <w:rStyle w:val="12"/>
          <w:rFonts w:ascii="黑体" w:hAnsi="黑体" w:cs="黑体"/>
          <w:b w:val="0"/>
          <w:bCs w:val="0"/>
        </w:rPr>
      </w:pPr>
      <w:r>
        <w:rPr>
          <w:rStyle w:val="12"/>
          <w:rFonts w:hint="eastAsia" w:ascii="黑体" w:hAnsi="黑体" w:cs="黑体"/>
          <w:b w:val="0"/>
          <w:bCs w:val="0"/>
        </w:rPr>
        <w:t>标准主要内容及其确定依据</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本标准依据《中华人民共和国标准化法》、《中华人民共和国渔业法》、农业农村部《水产养殖质量安全管理规定》以及中共中央办公厅、国务院办公厅《关于创新体制机制推动农业绿色发展的意见》等法规、政策文件中对加强养殖生产技术指导和水产品安全绿色生产的要求提出；项目组结合相关文献资料、实验研究及</w:t>
      </w:r>
      <w:r>
        <w:rPr>
          <w:rFonts w:hint="eastAsia" w:ascii="Times New Roman" w:hAnsi="Times New Roman" w:eastAsia="宋体" w:cs="宋体"/>
          <w:color w:val="000000"/>
          <w:sz w:val="24"/>
        </w:rPr>
        <w:t>鱼种培育</w:t>
      </w:r>
      <w:r>
        <w:rPr>
          <w:rFonts w:ascii="Times New Roman" w:hAnsi="Times New Roman" w:eastAsia="宋体" w:cs="宋体"/>
          <w:color w:val="000000"/>
          <w:sz w:val="24"/>
        </w:rPr>
        <w:t>生产数据等，确定了本标准的框架结构，由本规程的适用范围、规范性引用文件、术语和定义、</w:t>
      </w:r>
      <w:r>
        <w:rPr>
          <w:rFonts w:hint="eastAsia" w:ascii="Times New Roman" w:hAnsi="Times New Roman" w:eastAsia="宋体" w:cs="宋体"/>
          <w:color w:val="000000"/>
          <w:sz w:val="24"/>
        </w:rPr>
        <w:t>鱼种培育环境选择</w:t>
      </w:r>
      <w:r>
        <w:rPr>
          <w:rFonts w:ascii="Times New Roman" w:hAnsi="Times New Roman" w:eastAsia="宋体" w:cs="宋体"/>
          <w:color w:val="000000"/>
          <w:sz w:val="24"/>
        </w:rPr>
        <w:t>、</w:t>
      </w:r>
      <w:r>
        <w:rPr>
          <w:rFonts w:hint="eastAsia" w:ascii="Times New Roman" w:hAnsi="Times New Roman" w:eastAsia="宋体" w:cs="宋体"/>
          <w:color w:val="000000"/>
          <w:sz w:val="24"/>
        </w:rPr>
        <w:t>陆基鱼种培育</w:t>
      </w:r>
      <w:r>
        <w:rPr>
          <w:rFonts w:ascii="Times New Roman" w:hAnsi="Times New Roman" w:eastAsia="宋体" w:cs="宋体"/>
          <w:color w:val="000000"/>
          <w:sz w:val="24"/>
        </w:rPr>
        <w:t>、</w:t>
      </w:r>
      <w:r>
        <w:rPr>
          <w:rFonts w:hint="eastAsia" w:ascii="Times New Roman" w:hAnsi="Times New Roman" w:eastAsia="宋体" w:cs="宋体"/>
          <w:color w:val="000000"/>
          <w:sz w:val="24"/>
        </w:rPr>
        <w:t>海上网箱培育</w:t>
      </w:r>
      <w:r>
        <w:rPr>
          <w:rFonts w:ascii="Times New Roman" w:hAnsi="Times New Roman" w:eastAsia="宋体" w:cs="宋体"/>
          <w:color w:val="000000"/>
          <w:sz w:val="24"/>
        </w:rPr>
        <w:t>、记录和档案管理共</w:t>
      </w:r>
      <w:r>
        <w:rPr>
          <w:rFonts w:hint="eastAsia" w:ascii="Times New Roman" w:hAnsi="Times New Roman" w:eastAsia="宋体" w:cs="宋体"/>
          <w:color w:val="000000"/>
          <w:sz w:val="24"/>
        </w:rPr>
        <w:t>7</w:t>
      </w:r>
      <w:r>
        <w:rPr>
          <w:rFonts w:ascii="Times New Roman" w:hAnsi="Times New Roman" w:eastAsia="宋体" w:cs="宋体"/>
          <w:color w:val="000000"/>
          <w:sz w:val="24"/>
        </w:rPr>
        <w:t>章组成。主要技术参数的确定依据如下：</w:t>
      </w:r>
    </w:p>
    <w:p>
      <w:pPr>
        <w:spacing w:line="360" w:lineRule="auto"/>
        <w:jc w:val="left"/>
        <w:rPr>
          <w:rFonts w:hint="default" w:ascii="Times New Roman" w:hAnsi="Times New Roman" w:eastAsia="宋体" w:cs="宋体"/>
          <w:color w:val="000000"/>
          <w:sz w:val="24"/>
          <w:lang w:val="en-US"/>
        </w:rPr>
      </w:pPr>
      <w:r>
        <w:rPr>
          <w:rFonts w:hint="eastAsia" w:ascii="Times New Roman" w:hAnsi="Times New Roman" w:eastAsia="宋体" w:cs="宋体"/>
          <w:color w:val="000000"/>
          <w:sz w:val="24"/>
        </w:rPr>
        <w:t>3.1 术语</w:t>
      </w:r>
      <w:r>
        <w:rPr>
          <w:rFonts w:hint="eastAsia" w:ascii="Times New Roman" w:hAnsi="Times New Roman" w:eastAsia="宋体" w:cs="宋体"/>
          <w:color w:val="000000"/>
          <w:sz w:val="24"/>
          <w:lang w:val="en-US" w:eastAsia="zh-CN"/>
        </w:rPr>
        <w:t>和定义</w:t>
      </w:r>
    </w:p>
    <w:p>
      <w:pPr>
        <w:spacing w:line="360" w:lineRule="auto"/>
        <w:jc w:val="left"/>
        <w:rPr>
          <w:rFonts w:hint="eastAsia" w:ascii="Times New Roman" w:hAnsi="Times New Roman" w:eastAsia="宋体" w:cs="宋体"/>
          <w:color w:val="000000"/>
          <w:sz w:val="24"/>
          <w:lang w:eastAsia="zh-CN"/>
        </w:rPr>
      </w:pPr>
      <w:r>
        <w:rPr>
          <w:rFonts w:hint="eastAsia" w:ascii="Times New Roman" w:hAnsi="Times New Roman" w:eastAsia="宋体" w:cs="宋体"/>
          <w:color w:val="000000"/>
          <w:sz w:val="24"/>
        </w:rPr>
        <w:t>为加强本标准的系统性和术语的理解，规定了“深远海”、“陆海接力大规格鱼种培育”的术语和定义</w:t>
      </w:r>
      <w:r>
        <w:rPr>
          <w:rFonts w:hint="eastAsia" w:ascii="Times New Roman" w:hAnsi="Times New Roman" w:eastAsia="宋体" w:cs="宋体"/>
          <w:color w:val="000000"/>
          <w:sz w:val="24"/>
          <w:lang w:eastAsia="zh-CN"/>
        </w:rPr>
        <w:t>；</w:t>
      </w:r>
    </w:p>
    <w:p>
      <w:pPr>
        <w:spacing w:line="360" w:lineRule="auto"/>
        <w:jc w:val="left"/>
        <w:rPr>
          <w:rFonts w:ascii="Times New Roman" w:hAnsi="Times New Roman" w:eastAsia="宋体" w:cs="宋体"/>
          <w:color w:val="000000"/>
          <w:sz w:val="24"/>
        </w:rPr>
      </w:pPr>
      <w:r>
        <w:rPr>
          <w:rFonts w:ascii="Times New Roman" w:hAnsi="Times New Roman" w:eastAsia="宋体" w:cs="宋体"/>
          <w:color w:val="000000"/>
          <w:sz w:val="24"/>
        </w:rPr>
        <w:t>深远海 deeper offshore</w:t>
      </w:r>
      <w:r>
        <w:rPr>
          <w:rFonts w:hint="eastAsia" w:ascii="Times New Roman" w:hAnsi="Times New Roman" w:eastAsia="宋体" w:cs="宋体"/>
          <w:color w:val="000000"/>
          <w:sz w:val="24"/>
        </w:rPr>
        <w:t>：</w:t>
      </w:r>
      <w:r>
        <w:rPr>
          <w:rFonts w:ascii="Times New Roman" w:hAnsi="Times New Roman" w:eastAsia="宋体" w:cs="宋体"/>
          <w:color w:val="000000"/>
          <w:sz w:val="24"/>
        </w:rPr>
        <w:t>离岸 10 km 以外，水深大于 20 m 并具有大洋性浪、流特征的开放海域。</w:t>
      </w:r>
    </w:p>
    <w:p>
      <w:pPr>
        <w:spacing w:line="360" w:lineRule="auto"/>
        <w:jc w:val="left"/>
        <w:rPr>
          <w:rFonts w:ascii="Times New Roman" w:hAnsi="Times New Roman" w:eastAsia="宋体" w:cs="宋体"/>
          <w:color w:val="000000"/>
          <w:sz w:val="24"/>
        </w:rPr>
      </w:pPr>
      <w:r>
        <w:rPr>
          <w:rFonts w:ascii="Times New Roman" w:hAnsi="Times New Roman" w:eastAsia="宋体" w:cs="宋体"/>
          <w:color w:val="000000"/>
          <w:sz w:val="24"/>
        </w:rPr>
        <w:t>陆海接力大规格鱼种培育 Land and Sea Relay for Large-Size Fish Cultivation</w:t>
      </w:r>
      <w:r>
        <w:rPr>
          <w:rFonts w:hint="eastAsia" w:ascii="Times New Roman" w:hAnsi="Times New Roman" w:eastAsia="宋体" w:cs="宋体"/>
          <w:color w:val="000000"/>
          <w:sz w:val="24"/>
        </w:rPr>
        <w:t>：</w:t>
      </w:r>
      <w:r>
        <w:rPr>
          <w:rFonts w:ascii="Times New Roman" w:hAnsi="Times New Roman" w:eastAsia="宋体" w:cs="宋体"/>
          <w:color w:val="000000"/>
          <w:sz w:val="24"/>
        </w:rPr>
        <w:t>利用陆地养殖设施</w:t>
      </w:r>
      <w:r>
        <w:rPr>
          <w:rFonts w:hint="eastAsia" w:ascii="Times New Roman" w:hAnsi="Times New Roman" w:eastAsia="宋体" w:cs="宋体"/>
          <w:color w:val="000000"/>
          <w:sz w:val="24"/>
        </w:rPr>
        <w:t>将0.4 g～0.6 g小规格鱼种</w:t>
      </w:r>
      <w:r>
        <w:rPr>
          <w:rFonts w:ascii="Times New Roman" w:hAnsi="Times New Roman" w:eastAsia="宋体" w:cs="宋体"/>
          <w:color w:val="000000"/>
          <w:sz w:val="24"/>
        </w:rPr>
        <w:t>培育8 g～10 g中规格鱼种，后转运至深水网箱培育成50 g～1</w:t>
      </w:r>
      <w:r>
        <w:rPr>
          <w:rFonts w:hint="eastAsia" w:ascii="Times New Roman" w:hAnsi="Times New Roman" w:eastAsia="宋体" w:cs="宋体"/>
          <w:color w:val="000000"/>
          <w:sz w:val="24"/>
          <w:lang w:val="en-US" w:eastAsia="zh-CN"/>
        </w:rPr>
        <w:t>25</w:t>
      </w:r>
      <w:r>
        <w:rPr>
          <w:rFonts w:ascii="Times New Roman" w:hAnsi="Times New Roman" w:eastAsia="宋体" w:cs="宋体"/>
          <w:color w:val="000000"/>
          <w:sz w:val="24"/>
        </w:rPr>
        <w:t xml:space="preserve"> g大规格鱼种，实现苗种从陆基到深水网箱的一体化培育模式。</w:t>
      </w:r>
    </w:p>
    <w:p>
      <w:pPr>
        <w:pStyle w:val="7"/>
        <w:numPr>
          <w:ilvl w:val="1"/>
          <w:numId w:val="0"/>
        </w:numPr>
        <w:ind w:left="567" w:hanging="567"/>
        <w:rPr>
          <w:rStyle w:val="12"/>
          <w:rFonts w:ascii="黑体" w:hAnsi="黑体" w:cs="黑体"/>
          <w:b w:val="0"/>
          <w:bCs w:val="0"/>
        </w:rPr>
      </w:pPr>
      <w:r>
        <w:rPr>
          <w:rStyle w:val="12"/>
          <w:rFonts w:hint="eastAsia" w:ascii="黑体" w:hAnsi="黑体" w:cs="黑体"/>
          <w:b w:val="0"/>
          <w:bCs w:val="0"/>
        </w:rPr>
        <w:t>3.1 鱼种培育环境选择</w:t>
      </w:r>
    </w:p>
    <w:p>
      <w:pPr>
        <w:spacing w:line="360" w:lineRule="auto"/>
        <w:jc w:val="left"/>
        <w:rPr>
          <w:rFonts w:ascii="Times New Roman" w:hAnsi="Times New Roman" w:eastAsia="宋体" w:cs="宋体"/>
          <w:color w:val="000000"/>
          <w:sz w:val="24"/>
        </w:rPr>
      </w:pPr>
      <w:r>
        <w:rPr>
          <w:rFonts w:hint="eastAsia" w:ascii="Times New Roman" w:hAnsi="Times New Roman" w:eastAsia="宋体" w:cs="宋体"/>
          <w:color w:val="000000"/>
          <w:sz w:val="24"/>
        </w:rPr>
        <w:t>3.1.1 陆基鱼种培育环境选择</w:t>
      </w:r>
    </w:p>
    <w:p>
      <w:pPr>
        <w:spacing w:line="360" w:lineRule="auto"/>
        <w:ind w:firstLine="480" w:firstLineChars="200"/>
        <w:rPr>
          <w:rFonts w:ascii="Times New Roman" w:hAnsi="Times New Roman" w:eastAsia="宋体" w:cs="宋体"/>
          <w:color w:val="000000"/>
          <w:sz w:val="24"/>
          <w:highlight w:val="yellow"/>
        </w:rPr>
      </w:pPr>
      <w:r>
        <w:rPr>
          <w:rFonts w:hint="eastAsia" w:ascii="Times New Roman" w:hAnsi="Times New Roman" w:eastAsia="宋体" w:cs="宋体"/>
          <w:color w:val="000000"/>
          <w:sz w:val="24"/>
        </w:rPr>
        <w:t>卵形鲳鲹受精卵孵化一般在池塘中进行，孵化后同步在池塘中培育成仔稚鱼。将仔稚鱼培育到大规格鱼种阶段，也是在池塘中进行。卵形鲳鲹大规格鱼种培育环境及水质条件要求较高，因此标准文本中对环境、水质指标等进行了规定。鱼种培育水质应符合GB 11607的规定。（农忠等，2024）认为室外池塘培育大规格鱼种可以减少运输损耗，保障鱼种的存活率。（彭俊耀等，2017）得出室外土池培育条件水温在23 ℃～30 ℃，盐度27～34，pH7.6～8.5；pH8.2～8.4，水体透明度在40 cm～50 cm。育苗具有水质稳定、天然饵料种类多、营养丰富、种苗生产速度快、育苗时间短、苗体健壮等特点，更适宜操作。彭志东（2007）得出卵形鲳鲹室外苗种培育水温宜在20 ℃～26 ℃，盐度27～33，pH8.2～8.4，水体透明度在40 cm～50 cm。项目组综合实验研究结果、生产数据及文献材料，苗种培育应选择室外池塘中进行，池塘面积应为 0.3 ha～1.0 ha，平均水深为 1.3 m～2.5 m，水源应符合 GB 11607 的要求，水温应在23 ℃～35 ℃，溶解氧在5 mg/L以上，pH 7.6～8.4，盐度在10～30。</w:t>
      </w:r>
    </w:p>
    <w:p>
      <w:pPr>
        <w:spacing w:line="360" w:lineRule="auto"/>
        <w:jc w:val="left"/>
        <w:rPr>
          <w:rFonts w:ascii="Times New Roman" w:hAnsi="Times New Roman" w:eastAsia="宋体" w:cs="宋体"/>
          <w:color w:val="000000"/>
          <w:sz w:val="24"/>
        </w:rPr>
      </w:pPr>
      <w:r>
        <w:rPr>
          <w:rFonts w:hint="eastAsia" w:ascii="Times New Roman" w:hAnsi="Times New Roman" w:eastAsia="宋体" w:cs="宋体"/>
          <w:color w:val="000000"/>
          <w:sz w:val="24"/>
        </w:rPr>
        <w:t>3.1.2 海上培育环境选择</w:t>
      </w:r>
    </w:p>
    <w:p>
      <w:pPr>
        <w:spacing w:line="360" w:lineRule="auto"/>
        <w:ind w:firstLine="480" w:firstLineChars="200"/>
        <w:rPr>
          <w:rFonts w:ascii="Times New Roman" w:hAnsi="Times New Roman" w:eastAsia="宋体" w:cs="宋体"/>
          <w:color w:val="000000"/>
          <w:sz w:val="24"/>
        </w:rPr>
      </w:pPr>
      <w:r>
        <w:rPr>
          <w:rFonts w:hint="eastAsia" w:ascii="Times New Roman" w:hAnsi="Times New Roman" w:eastAsia="宋体" w:cs="宋体"/>
          <w:color w:val="000000"/>
          <w:sz w:val="24"/>
        </w:rPr>
        <w:t>在池塘将鱼苗培育至小规格鱼种后，采用活水车加活水船的方式运输至海上网箱进行二段培育。（农忠等，2024）采用采用“室外温棚池塘＋近海网箱＋深水网箱”的陆海接力养殖模式，可减少运输损耗和保障苗种质量，达到节约养殖成本和提高养殖效益目的。海上养殖水深 8～15 m，透明度＞0.8 米，水温25～34℃，盐度 28～33，pH 7.6～8.6，流速 0.5～1 m/s；也有研究表明海上金鲳鱼网箱养殖养殖海区的水质应满足以下条件：盐度 20 ~30，水温 18~32℃、pH 7~9，透明度 8~15 米、溶解氧 5 mg /L以上；张静等（2024）得出卵形鲳鲹养殖水流速度不宜超过1m/s，适宜流速为0.54 cm/s～0.6 cm/s;项目组综合实验研究结果、生产数据及文献材料，卵形鲳鲹大规格鱼种海上培育应选择潮流通畅、周围无污染、海底地势平缓、泥沙质底、有一定挡风屏障的海区，海区流速 0.2 m/s～1.0 m/s，平均水深大于 13.0 m，海水盐度 18～32，水温 23 ℃～32 ℃，pH 值 7.8～8.6，溶解氧含量维持在 5 mg/L 以上。</w:t>
      </w:r>
    </w:p>
    <w:p>
      <w:pPr>
        <w:pStyle w:val="7"/>
        <w:numPr>
          <w:ilvl w:val="1"/>
          <w:numId w:val="0"/>
        </w:numPr>
        <w:ind w:left="567" w:hanging="567"/>
        <w:rPr>
          <w:rStyle w:val="12"/>
          <w:rFonts w:ascii="黑体" w:hAnsi="黑体" w:cs="黑体"/>
          <w:b w:val="0"/>
          <w:bCs w:val="0"/>
        </w:rPr>
      </w:pPr>
      <w:r>
        <w:rPr>
          <w:rStyle w:val="12"/>
          <w:rFonts w:hint="eastAsia" w:ascii="黑体" w:hAnsi="黑体" w:cs="黑体"/>
          <w:b w:val="0"/>
          <w:bCs w:val="0"/>
        </w:rPr>
        <w:t>3.2 陆基鱼种培育</w:t>
      </w:r>
    </w:p>
    <w:p>
      <w:pPr>
        <w:spacing w:line="360" w:lineRule="auto"/>
        <w:ind w:firstLine="480" w:firstLineChars="200"/>
        <w:jc w:val="left"/>
        <w:rPr>
          <w:rFonts w:ascii="Times New Roman" w:hAnsi="Times New Roman" w:eastAsia="宋体" w:cs="宋体"/>
          <w:color w:val="000000"/>
          <w:sz w:val="24"/>
        </w:rPr>
      </w:pPr>
      <w:r>
        <w:rPr>
          <w:rFonts w:hint="eastAsia" w:ascii="Times New Roman" w:hAnsi="Times New Roman" w:eastAsia="宋体" w:cs="宋体"/>
          <w:color w:val="000000"/>
          <w:sz w:val="24"/>
        </w:rPr>
        <w:t>陆基鱼种培育是将仔稚鱼/鱼苗培育至中规格鱼种/标粗的过程，包含鱼苗放养、饲养投喂、日常管理、中规格鱼种运输等环节。</w:t>
      </w:r>
    </w:p>
    <w:p>
      <w:pPr>
        <w:spacing w:line="360" w:lineRule="auto"/>
        <w:jc w:val="left"/>
        <w:rPr>
          <w:rFonts w:ascii="Times New Roman" w:hAnsi="Times New Roman" w:eastAsia="宋体" w:cs="宋体"/>
          <w:color w:val="000000"/>
          <w:sz w:val="24"/>
        </w:rPr>
      </w:pPr>
      <w:r>
        <w:rPr>
          <w:rFonts w:hint="eastAsia" w:ascii="Times New Roman" w:hAnsi="Times New Roman" w:eastAsia="宋体" w:cs="宋体"/>
          <w:color w:val="000000"/>
          <w:sz w:val="24"/>
        </w:rPr>
        <w:t>3.2.1苗种选择</w:t>
      </w:r>
    </w:p>
    <w:p>
      <w:pPr>
        <w:spacing w:line="360" w:lineRule="auto"/>
        <w:ind w:firstLine="480" w:firstLineChars="200"/>
        <w:rPr>
          <w:rFonts w:ascii="Times New Roman" w:hAnsi="Times New Roman" w:eastAsia="宋体" w:cs="宋体"/>
          <w:color w:val="000000"/>
          <w:sz w:val="24"/>
        </w:rPr>
      </w:pPr>
      <w:r>
        <w:rPr>
          <w:rFonts w:hint="eastAsia" w:ascii="Times New Roman" w:hAnsi="Times New Roman" w:eastAsia="宋体" w:cs="宋体"/>
          <w:color w:val="000000"/>
          <w:sz w:val="24"/>
        </w:rPr>
        <w:t>苗种质量影响后续养殖的成功率，目前卵形鲳鲹存在良种匮乏现象，国内卵形鲳鲹新品种只有“晨海1号”；苗种质量参差不齐，部分苗种体质弱或携带相关病原，放苗后易出现死亡；苗种选择是整个卵形鲳鲹养殖过程中关键环节，</w:t>
      </w:r>
      <w:r>
        <w:rPr>
          <w:rFonts w:ascii="Times New Roman" w:hAnsi="Times New Roman" w:eastAsia="宋体" w:cs="宋体"/>
          <w:color w:val="000000"/>
          <w:sz w:val="24"/>
        </w:rPr>
        <w:t>苗种</w:t>
      </w:r>
      <w:r>
        <w:rPr>
          <w:rFonts w:hint="eastAsia" w:ascii="Times New Roman" w:hAnsi="Times New Roman" w:eastAsia="宋体" w:cs="宋体"/>
          <w:color w:val="000000"/>
          <w:sz w:val="24"/>
        </w:rPr>
        <w:t>应</w:t>
      </w:r>
      <w:r>
        <w:rPr>
          <w:rFonts w:ascii="Times New Roman" w:hAnsi="Times New Roman" w:eastAsia="宋体" w:cs="宋体"/>
          <w:color w:val="000000"/>
          <w:sz w:val="24"/>
        </w:rPr>
        <w:t>体质健壮、规格整齐、活力好、无伤、无畸形、摄食情况良好、不携带特定病原。鱼苗质量应符合SC/T 2044与DD4408/T 14 的规定。</w:t>
      </w:r>
    </w:p>
    <w:p>
      <w:pPr>
        <w:spacing w:line="360" w:lineRule="auto"/>
        <w:jc w:val="left"/>
        <w:rPr>
          <w:rFonts w:ascii="Times New Roman" w:hAnsi="Times New Roman" w:eastAsia="宋体" w:cs="宋体"/>
          <w:color w:val="000000"/>
          <w:sz w:val="24"/>
        </w:rPr>
      </w:pPr>
      <w:r>
        <w:rPr>
          <w:rFonts w:hint="eastAsia" w:ascii="Times New Roman" w:hAnsi="Times New Roman" w:eastAsia="宋体" w:cs="宋体"/>
          <w:color w:val="000000"/>
          <w:sz w:val="24"/>
        </w:rPr>
        <w:t>3.2.2 鱼苗放养</w:t>
      </w:r>
    </w:p>
    <w:p>
      <w:pPr>
        <w:spacing w:line="360" w:lineRule="auto"/>
        <w:ind w:firstLine="480" w:firstLineChars="200"/>
        <w:rPr>
          <w:rFonts w:ascii="Times New Roman" w:hAnsi="Times New Roman" w:eastAsia="宋体" w:cs="宋体"/>
          <w:color w:val="000000"/>
          <w:sz w:val="24"/>
        </w:rPr>
      </w:pPr>
      <w:r>
        <w:rPr>
          <w:rFonts w:hint="eastAsia" w:ascii="Times New Roman" w:hAnsi="Times New Roman" w:eastAsia="宋体" w:cs="宋体"/>
          <w:color w:val="000000"/>
          <w:sz w:val="24"/>
        </w:rPr>
        <w:t>（</w:t>
      </w:r>
      <w:r>
        <w:rPr>
          <w:rFonts w:ascii="Times New Roman" w:hAnsi="Times New Roman" w:eastAsia="宋体" w:cs="宋体"/>
          <w:color w:val="000000"/>
          <w:sz w:val="24"/>
        </w:rPr>
        <w:t>高祥云</w:t>
      </w:r>
      <w:r>
        <w:rPr>
          <w:rFonts w:hint="eastAsia" w:ascii="Times New Roman" w:hAnsi="Times New Roman" w:eastAsia="宋体" w:cs="宋体"/>
          <w:color w:val="000000"/>
          <w:sz w:val="24"/>
        </w:rPr>
        <w:t>等，2025）认为放鱼时需先放试水鱼；（韦爱良等，2025）表明鱼苗放养时应当选择放养应选择在晴暖天气进行，尽量避开雨雪、刮风等恶劣天气；（林青龙，2015）养殖一亩池塘可以投放体长为4~5厘米的金鲳鱼鱼苗2000尾左右；（刘锡强等，2014）认为池塘金鲳鱼放养密度以1,000~1,500尾/亩为宜。以上均为池塘养殖从鱼苗养至成鱼，在标准中此阶段为将鱼苗标粗至5-9cm的中规格鱼种。项目组在池塘标粗时，放苗密度放养密度为1.2万尾/亩～2万尾/亩，标粗15天后，标粗存活率可达到90%以上。综合实验研究结果、生产数据及文献材料，卵形鲳鲹鱼苗放养前1 d进行试水，免高温、阴雨天气，选择早、晚进行放养，放养时水温不低于23 ℃，且水温与池塘水温温差不超过(±2)℃，放养密度为180000 ind/ha～300000 ind/ha。</w:t>
      </w:r>
    </w:p>
    <w:p>
      <w:pPr>
        <w:spacing w:line="360" w:lineRule="auto"/>
        <w:jc w:val="left"/>
        <w:rPr>
          <w:rFonts w:ascii="Times New Roman" w:hAnsi="Times New Roman" w:eastAsia="宋体" w:cs="宋体"/>
          <w:color w:val="000000"/>
          <w:sz w:val="24"/>
        </w:rPr>
      </w:pPr>
      <w:r>
        <w:rPr>
          <w:rFonts w:hint="eastAsia" w:ascii="Times New Roman" w:hAnsi="Times New Roman" w:eastAsia="宋体" w:cs="宋体"/>
          <w:color w:val="000000"/>
          <w:sz w:val="24"/>
        </w:rPr>
        <w:t>3.2.3 饲养投喂</w:t>
      </w:r>
    </w:p>
    <w:p>
      <w:pPr>
        <w:spacing w:line="360" w:lineRule="auto"/>
        <w:ind w:firstLine="480" w:firstLineChars="200"/>
        <w:rPr>
          <w:rFonts w:ascii="Times New Roman" w:hAnsi="Times New Roman" w:eastAsia="宋体" w:cs="宋体"/>
          <w:color w:val="000000"/>
          <w:sz w:val="24"/>
        </w:rPr>
      </w:pPr>
      <w:r>
        <w:rPr>
          <w:rFonts w:hint="eastAsia" w:ascii="Times New Roman" w:hAnsi="Times New Roman" w:eastAsia="宋体" w:cs="宋体"/>
          <w:color w:val="000000"/>
          <w:sz w:val="24"/>
        </w:rPr>
        <w:t>（</w:t>
      </w:r>
      <w:r>
        <w:rPr>
          <w:rFonts w:ascii="Times New Roman" w:hAnsi="Times New Roman" w:eastAsia="宋体" w:cs="宋体"/>
          <w:color w:val="000000"/>
          <w:sz w:val="24"/>
        </w:rPr>
        <w:t>刘波</w:t>
      </w:r>
      <w:r>
        <w:rPr>
          <w:rFonts w:hint="eastAsia" w:ascii="Times New Roman" w:hAnsi="Times New Roman" w:eastAsia="宋体" w:cs="宋体"/>
          <w:color w:val="000000"/>
          <w:sz w:val="24"/>
        </w:rPr>
        <w:t>，2019）表明</w:t>
      </w:r>
      <w:r>
        <w:rPr>
          <w:rFonts w:ascii="Times New Roman" w:hAnsi="Times New Roman" w:eastAsia="宋体" w:cs="宋体"/>
          <w:color w:val="000000"/>
          <w:sz w:val="24"/>
        </w:rPr>
        <w:t>卵形鲳鲹(</w:t>
      </w:r>
      <w:r>
        <w:rPr>
          <w:rFonts w:ascii="Times New Roman" w:hAnsi="Times New Roman" w:eastAsia="宋体" w:cs="宋体"/>
          <w:i/>
          <w:iCs/>
          <w:color w:val="000000"/>
          <w:sz w:val="24"/>
        </w:rPr>
        <w:t>Trachinodus ovatus</w:t>
      </w:r>
      <w:r>
        <w:rPr>
          <w:rFonts w:ascii="Times New Roman" w:hAnsi="Times New Roman" w:eastAsia="宋体" w:cs="宋体"/>
          <w:color w:val="000000"/>
          <w:sz w:val="24"/>
        </w:rPr>
        <w:t>)幼鱼在投喂频率为4次/d时可生长</w:t>
      </w:r>
      <w:r>
        <w:rPr>
          <w:rFonts w:hint="eastAsia" w:ascii="Times New Roman" w:hAnsi="Times New Roman" w:eastAsia="宋体" w:cs="宋体"/>
          <w:color w:val="000000"/>
          <w:sz w:val="24"/>
        </w:rPr>
        <w:t>速度较快。（周勤勇等，2013）也发现在每天投喂 4 次的高频率投喂组鱼体成活率高，大小更均匀。（吴玉波等，2011）研究表明卵形鲳鲹适宜的投喂频率是3次/d。项目组在池塘标粗过程中，每天投喂3-4次，投喂量按照体重8%-12%投喂，标粗后规格整齐。综合实验研究结果、生产数据及文献材料，卵形鲳鲹在池塘培育时每天投喂 3 次～4 次，日投饲量根据鱼体规格决定：按照体重8%-12%投喂。</w:t>
      </w:r>
    </w:p>
    <w:p>
      <w:pPr>
        <w:spacing w:line="360" w:lineRule="auto"/>
        <w:jc w:val="left"/>
        <w:rPr>
          <w:rFonts w:ascii="Times New Roman" w:hAnsi="Times New Roman" w:eastAsia="宋体" w:cs="宋体"/>
          <w:color w:val="000000"/>
          <w:sz w:val="24"/>
        </w:rPr>
      </w:pPr>
      <w:r>
        <w:rPr>
          <w:rFonts w:hint="eastAsia" w:ascii="Times New Roman" w:hAnsi="Times New Roman" w:eastAsia="宋体" w:cs="宋体"/>
          <w:color w:val="000000"/>
          <w:sz w:val="24"/>
        </w:rPr>
        <w:t>3.2.3 日常管理</w:t>
      </w:r>
    </w:p>
    <w:p>
      <w:pPr>
        <w:spacing w:line="360" w:lineRule="auto"/>
        <w:ind w:firstLine="480" w:firstLineChars="200"/>
        <w:rPr>
          <w:rFonts w:ascii="Times New Roman" w:hAnsi="Times New Roman" w:eastAsia="宋体" w:cs="宋体"/>
          <w:color w:val="000000"/>
          <w:sz w:val="24"/>
        </w:rPr>
      </w:pPr>
      <w:r>
        <w:rPr>
          <w:rFonts w:hint="eastAsia" w:ascii="Times New Roman" w:hAnsi="Times New Roman" w:eastAsia="宋体" w:cs="宋体"/>
          <w:color w:val="000000"/>
          <w:sz w:val="24"/>
        </w:rPr>
        <w:t>养殖过程中根据池塘水色、水温、溶解氧等选择使用增氧机、换水、或泼洒水质调节剂等方式调节水质。放苗初期不换水，仅每天少量添水，视水质情况 7 d 后，每天换水 10%～20%。</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维护良好的水质，适当在预混合配合饲料、粉料中添加大蒜素、免疫多糖或中草药制剂等，提高鱼类免疫力。在病害流行季节加强疾病预防工作，一旦发现养殖鱼发生疾病，立即准确诊断，及时治疗，选用的渔用药物应符合 SC/T 1132 的规定。</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出苗前对苗种质量进行检测，体型、体色正常、鳍条、鳞片完整、体质健壮、反应灵敏，苗种畸形率≤1%，伤残率≤3%，不得检出神经坏死病毒和刺激隐核虫等致病性强、危害大得疾病</w:t>
      </w:r>
      <w:r>
        <w:rPr>
          <w:rFonts w:hint="eastAsia" w:ascii="Times New Roman" w:hAnsi="Times New Roman" w:eastAsia="宋体" w:cs="宋体"/>
          <w:color w:val="000000"/>
          <w:sz w:val="24"/>
          <w:lang w:eastAsia="zh-CN"/>
        </w:rPr>
        <w:t>，神经坏死病毒按SC/T 7216的规定执行，刺激隐核虫病检测按照GB/T 34733的规定执行</w:t>
      </w:r>
      <w:r>
        <w:rPr>
          <w:rFonts w:ascii="Times New Roman" w:hAnsi="Times New Roman" w:eastAsia="宋体" w:cs="宋体"/>
          <w:color w:val="000000"/>
          <w:sz w:val="24"/>
        </w:rPr>
        <w:t>。</w:t>
      </w:r>
    </w:p>
    <w:p>
      <w:pPr>
        <w:spacing w:line="360" w:lineRule="auto"/>
        <w:ind w:firstLine="480" w:firstLineChars="200"/>
        <w:jc w:val="left"/>
        <w:rPr>
          <w:rFonts w:ascii="Times New Roman" w:hAnsi="Times New Roman" w:eastAsia="宋体" w:cs="宋体"/>
          <w:color w:val="000000"/>
          <w:sz w:val="24"/>
        </w:rPr>
      </w:pPr>
      <w:r>
        <w:rPr>
          <w:rFonts w:hint="eastAsia" w:ascii="Times New Roman" w:hAnsi="Times New Roman" w:eastAsia="宋体" w:cs="宋体"/>
          <w:color w:val="000000"/>
          <w:sz w:val="24"/>
        </w:rPr>
        <w:t>在出苗时需对不同大小的鱼苗进行分筛，使鱼苗规格更加均匀方便后续海上二段标粗。</w:t>
      </w:r>
    </w:p>
    <w:p>
      <w:pPr>
        <w:spacing w:line="360" w:lineRule="auto"/>
        <w:jc w:val="left"/>
        <w:rPr>
          <w:rFonts w:ascii="Times New Roman" w:hAnsi="Times New Roman" w:eastAsia="宋体" w:cs="宋体"/>
          <w:color w:val="000000"/>
          <w:sz w:val="24"/>
        </w:rPr>
      </w:pPr>
      <w:r>
        <w:rPr>
          <w:rFonts w:hint="eastAsia" w:ascii="Times New Roman" w:hAnsi="Times New Roman" w:eastAsia="宋体" w:cs="宋体"/>
          <w:color w:val="000000"/>
          <w:sz w:val="24"/>
        </w:rPr>
        <w:t>3.2.4 中规格鱼种运输</w:t>
      </w:r>
    </w:p>
    <w:p>
      <w:pPr>
        <w:spacing w:line="360" w:lineRule="auto"/>
        <w:ind w:firstLine="480" w:firstLineChars="200"/>
        <w:rPr>
          <w:rFonts w:ascii="Times New Roman" w:hAnsi="Times New Roman" w:eastAsia="宋体" w:cs="宋体"/>
          <w:color w:val="000000"/>
          <w:sz w:val="24"/>
        </w:rPr>
      </w:pPr>
      <w:r>
        <w:rPr>
          <w:rFonts w:hint="eastAsia" w:ascii="Times New Roman" w:hAnsi="Times New Roman" w:eastAsia="宋体" w:cs="宋体"/>
          <w:color w:val="000000"/>
          <w:sz w:val="24"/>
        </w:rPr>
        <w:t>当鱼苗培育至中规格鱼种（8.0 g/尾～10.0 g /尾）时，需将其运输至海上网箱进一步培育。（吴英，2024）表明鱼苗运输前1天需进行拉网锻炼，让鱼苗排空体内粪便，减少体表黏液，使其习惯密集环境，适应运输。项目组经过多次实际生产验证，活水车运输鱼苗前应将水温控制在23-25℃之间，配备纯氧加空气氧一同供养，且水车内水应当进入循环水系统进行过滤与净化，活水车苗种运输密度应控制在6500-9000 ind/m</w:t>
      </w:r>
      <w:r>
        <w:rPr>
          <w:rFonts w:hint="eastAsia" w:ascii="Times New Roman" w:hAnsi="Times New Roman" w:eastAsia="宋体" w:cs="宋体"/>
          <w:color w:val="000000"/>
          <w:sz w:val="24"/>
          <w:vertAlign w:val="superscript"/>
        </w:rPr>
        <w:t>3</w:t>
      </w:r>
      <w:r>
        <w:rPr>
          <w:rFonts w:hint="eastAsia" w:ascii="Times New Roman" w:hAnsi="Times New Roman" w:eastAsia="宋体" w:cs="宋体"/>
          <w:color w:val="000000"/>
          <w:sz w:val="24"/>
        </w:rPr>
        <w:t>，此种方式运输苗种成活率高。综合实验研究结果、生产数据及文献材料，鱼苗达到中等规格鱼种时，应及时拉网，将鱼苗聚集跑水锻炼30 min～60 min，准备转运。在运输前制定合理的运输计划，选择活水车运输，将水温调节到23 ℃～25 ℃，运输密度为6500 ind/m</w:t>
      </w:r>
      <w:r>
        <w:rPr>
          <w:rFonts w:hint="eastAsia" w:ascii="Times New Roman" w:hAnsi="Times New Roman" w:eastAsia="宋体" w:cs="宋体"/>
          <w:color w:val="000000"/>
          <w:sz w:val="24"/>
          <w:vertAlign w:val="superscript"/>
        </w:rPr>
        <w:t>3</w:t>
      </w:r>
      <w:r>
        <w:rPr>
          <w:rFonts w:hint="eastAsia" w:ascii="Times New Roman" w:hAnsi="Times New Roman" w:eastAsia="宋体" w:cs="宋体"/>
          <w:color w:val="000000"/>
          <w:sz w:val="24"/>
        </w:rPr>
        <w:t>～9000 ind/m</w:t>
      </w:r>
      <w:r>
        <w:rPr>
          <w:rFonts w:hint="eastAsia" w:ascii="Times New Roman" w:hAnsi="Times New Roman" w:eastAsia="宋体" w:cs="宋体"/>
          <w:color w:val="000000"/>
          <w:sz w:val="24"/>
          <w:vertAlign w:val="superscript"/>
        </w:rPr>
        <w:t>3</w:t>
      </w:r>
      <w:r>
        <w:rPr>
          <w:rFonts w:hint="eastAsia" w:ascii="Times New Roman" w:hAnsi="Times New Roman" w:eastAsia="宋体" w:cs="宋体"/>
          <w:color w:val="000000"/>
          <w:sz w:val="24"/>
        </w:rPr>
        <w:t>，长距离运输时中途要换水1次。鱼种运输按照SC/T 1075规定执行。</w:t>
      </w:r>
    </w:p>
    <w:p>
      <w:pPr>
        <w:pStyle w:val="7"/>
        <w:numPr>
          <w:ilvl w:val="1"/>
          <w:numId w:val="0"/>
        </w:numPr>
        <w:ind w:left="567" w:hanging="567"/>
        <w:rPr>
          <w:rStyle w:val="12"/>
          <w:rFonts w:ascii="黑体" w:hAnsi="黑体" w:cs="黑体"/>
          <w:b w:val="0"/>
          <w:bCs w:val="0"/>
        </w:rPr>
      </w:pPr>
      <w:r>
        <w:rPr>
          <w:rStyle w:val="12"/>
          <w:rFonts w:hint="eastAsia" w:ascii="黑体" w:hAnsi="黑体" w:cs="黑体"/>
          <w:b w:val="0"/>
          <w:bCs w:val="0"/>
        </w:rPr>
        <w:t>3.3 海上网箱培育</w:t>
      </w:r>
    </w:p>
    <w:p>
      <w:pPr>
        <w:spacing w:line="360" w:lineRule="auto"/>
        <w:jc w:val="left"/>
        <w:rPr>
          <w:rFonts w:ascii="Times New Roman" w:hAnsi="Times New Roman" w:eastAsia="宋体" w:cs="宋体"/>
          <w:color w:val="000000"/>
          <w:sz w:val="24"/>
        </w:rPr>
      </w:pPr>
      <w:r>
        <w:rPr>
          <w:rFonts w:hint="eastAsia" w:ascii="Times New Roman" w:hAnsi="Times New Roman" w:eastAsia="宋体" w:cs="宋体"/>
          <w:color w:val="000000"/>
          <w:sz w:val="24"/>
        </w:rPr>
        <w:t>3.3.1 网箱结构与布局</w:t>
      </w:r>
    </w:p>
    <w:p>
      <w:pPr>
        <w:spacing w:line="360" w:lineRule="auto"/>
        <w:ind w:firstLine="480" w:firstLineChars="200"/>
        <w:rPr>
          <w:rFonts w:ascii="Times New Roman" w:hAnsi="Times New Roman" w:eastAsia="宋体" w:cs="宋体"/>
          <w:color w:val="000000"/>
          <w:sz w:val="24"/>
        </w:rPr>
      </w:pPr>
      <w:r>
        <w:rPr>
          <w:rFonts w:hint="eastAsia" w:ascii="Times New Roman" w:hAnsi="Times New Roman" w:eastAsia="宋体" w:cs="宋体"/>
          <w:color w:val="000000"/>
          <w:sz w:val="24"/>
        </w:rPr>
        <w:t>标粗大规格鱼种一般在养殖网箱内，此种方式可以使鱼种提早适应海上养殖环境，且远离近岸富营养化环境减少病害风险，提高标粗鱼种存活率。目前金鲳鱼海上养殖网箱一般采用重力式网箱，网箱设施主要包括框架系统、网衣系统、固定系统；网箱框架采用高密度聚乙烯（HDPE）材质，周长为40 m～100 m；网衣材料主要采用聚乙烯（PE）；固定系统一般采用锚固或打桩方式。</w:t>
      </w:r>
      <w:r>
        <w:rPr>
          <w:rFonts w:ascii="Times New Roman" w:hAnsi="Times New Roman" w:eastAsia="宋体" w:cs="宋体"/>
          <w:color w:val="000000"/>
          <w:sz w:val="24"/>
        </w:rPr>
        <w:t>根据网箱大小、潮流和风浪的不同，单个网箱固定，网箱排列应与潮流相适应，网箱之间应留间距大于100 m的养殖区域通道；网箱布局应符合 GB/T 20014.16要求。</w:t>
      </w:r>
    </w:p>
    <w:p>
      <w:pPr>
        <w:spacing w:line="360" w:lineRule="auto"/>
        <w:jc w:val="left"/>
        <w:rPr>
          <w:rFonts w:ascii="Times New Roman" w:hAnsi="Times New Roman" w:eastAsia="宋体" w:cs="宋体"/>
          <w:color w:val="000000"/>
          <w:sz w:val="24"/>
        </w:rPr>
      </w:pPr>
      <w:r>
        <w:rPr>
          <w:rFonts w:hint="eastAsia" w:ascii="Times New Roman" w:hAnsi="Times New Roman" w:eastAsia="宋体" w:cs="宋体"/>
          <w:color w:val="000000"/>
          <w:sz w:val="24"/>
        </w:rPr>
        <w:t>3.3.2 中规格鱼种放养</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选择潮流平缓时投放鱼种，低温季节选择在晴好天气的午后，高温季节宜选择阴凉的早、晚进行</w:t>
      </w:r>
      <w:r>
        <w:rPr>
          <w:rFonts w:hint="eastAsia" w:ascii="Times New Roman" w:hAnsi="Times New Roman" w:eastAsia="宋体" w:cs="宋体"/>
          <w:color w:val="000000"/>
          <w:sz w:val="24"/>
        </w:rPr>
        <w:t>。（农忠等，2024）研究得出规格为 90～120 m的网箱，箱体高度为 7～12.5 m；放养密度为 5～10 kg/m</w:t>
      </w:r>
      <w:r>
        <w:rPr>
          <w:rFonts w:hint="eastAsia" w:ascii="Times New Roman" w:hAnsi="Times New Roman" w:eastAsia="宋体" w:cs="宋体"/>
          <w:color w:val="000000"/>
          <w:sz w:val="24"/>
          <w:vertAlign w:val="superscript"/>
        </w:rPr>
        <w:t>3</w:t>
      </w:r>
      <w:r>
        <w:rPr>
          <w:rFonts w:hint="eastAsia" w:ascii="Times New Roman" w:hAnsi="Times New Roman" w:eastAsia="宋体" w:cs="宋体"/>
          <w:color w:val="000000"/>
          <w:sz w:val="24"/>
        </w:rPr>
        <w:t>，最终养殖密度为20～40 kg/m</w:t>
      </w:r>
      <w:r>
        <w:rPr>
          <w:rFonts w:hint="eastAsia" w:ascii="Times New Roman" w:hAnsi="Times New Roman" w:eastAsia="宋体" w:cs="宋体"/>
          <w:color w:val="000000"/>
          <w:sz w:val="24"/>
          <w:vertAlign w:val="superscript"/>
        </w:rPr>
        <w:t>3</w:t>
      </w:r>
      <w:r>
        <w:rPr>
          <w:rFonts w:hint="eastAsia" w:ascii="Times New Roman" w:hAnsi="Times New Roman" w:eastAsia="宋体" w:cs="宋体"/>
          <w:color w:val="000000"/>
          <w:sz w:val="24"/>
        </w:rPr>
        <w:t>。 (梁前才等，2020）表明卵形鲳鲹苗种培育到8g/尾规格后移到成鱼网箱养殖，放养密度一般在18~30 ind/m</w:t>
      </w:r>
      <w:r>
        <w:rPr>
          <w:rFonts w:hint="eastAsia" w:ascii="Times New Roman" w:hAnsi="Times New Roman" w:eastAsia="宋体" w:cs="宋体"/>
          <w:color w:val="000000"/>
          <w:sz w:val="24"/>
          <w:vertAlign w:val="superscript"/>
        </w:rPr>
        <w:t>3</w:t>
      </w:r>
      <w:r>
        <w:rPr>
          <w:rFonts w:hint="eastAsia" w:ascii="Times New Roman" w:hAnsi="Times New Roman" w:eastAsia="宋体" w:cs="宋体"/>
          <w:color w:val="000000"/>
          <w:sz w:val="24"/>
        </w:rPr>
        <w:t>。项目组在日常生产中不断总结经验与改进，目前在周长90m的重力式网箱养殖投放20-30万尾鱼苗标粗，标粗存活率可达到95%以上，一个网箱标粗后的大规格鱼苗可分散至2-3个深水网箱进行成鱼养殖。综合实验研究结果、生产数据及文献材料，卵形鲳鲹在网箱中规格鱼种</w:t>
      </w:r>
      <w:r>
        <w:rPr>
          <w:rFonts w:ascii="Times New Roman" w:hAnsi="Times New Roman" w:eastAsia="宋体" w:cs="宋体"/>
          <w:color w:val="000000"/>
          <w:sz w:val="24"/>
        </w:rPr>
        <w:t>放养密度为</w:t>
      </w:r>
      <w:r>
        <w:rPr>
          <w:rFonts w:hint="eastAsia" w:ascii="Times New Roman" w:hAnsi="Times New Roman" w:eastAsia="宋体" w:cs="宋体"/>
          <w:color w:val="000000"/>
          <w:sz w:val="24"/>
        </w:rPr>
        <w:t>40</w:t>
      </w:r>
      <w:r>
        <w:rPr>
          <w:rFonts w:ascii="Times New Roman" w:hAnsi="Times New Roman" w:eastAsia="宋体" w:cs="宋体"/>
          <w:color w:val="000000"/>
          <w:sz w:val="24"/>
        </w:rPr>
        <w:t xml:space="preserve"> ind/m</w:t>
      </w:r>
      <w:r>
        <w:rPr>
          <w:rFonts w:ascii="Times New Roman" w:hAnsi="Times New Roman" w:eastAsia="宋体" w:cs="宋体"/>
          <w:color w:val="000000"/>
          <w:sz w:val="24"/>
          <w:vertAlign w:val="superscript"/>
        </w:rPr>
        <w:t>3</w:t>
      </w:r>
      <w:r>
        <w:rPr>
          <w:rFonts w:ascii="Times New Roman" w:hAnsi="Times New Roman" w:eastAsia="宋体" w:cs="宋体"/>
          <w:color w:val="000000"/>
          <w:sz w:val="24"/>
        </w:rPr>
        <w:t>～</w:t>
      </w:r>
      <w:r>
        <w:rPr>
          <w:rFonts w:hint="eastAsia" w:ascii="Times New Roman" w:hAnsi="Times New Roman" w:eastAsia="宋体" w:cs="宋体"/>
          <w:color w:val="000000"/>
          <w:sz w:val="24"/>
        </w:rPr>
        <w:t>60</w:t>
      </w:r>
      <w:r>
        <w:rPr>
          <w:rFonts w:ascii="Times New Roman" w:hAnsi="Times New Roman" w:eastAsia="宋体" w:cs="宋体"/>
          <w:color w:val="000000"/>
          <w:sz w:val="24"/>
        </w:rPr>
        <w:t xml:space="preserve"> ind/m</w:t>
      </w:r>
      <w:r>
        <w:rPr>
          <w:rFonts w:ascii="Times New Roman" w:hAnsi="Times New Roman" w:eastAsia="宋体" w:cs="宋体"/>
          <w:color w:val="000000"/>
          <w:sz w:val="24"/>
          <w:vertAlign w:val="superscript"/>
        </w:rPr>
        <w:t>3</w:t>
      </w:r>
      <w:r>
        <w:rPr>
          <w:rFonts w:ascii="Times New Roman" w:hAnsi="Times New Roman" w:eastAsia="宋体" w:cs="宋体"/>
          <w:color w:val="000000"/>
          <w:sz w:val="24"/>
        </w:rPr>
        <w:t>。</w:t>
      </w:r>
    </w:p>
    <w:p>
      <w:pPr>
        <w:spacing w:line="360" w:lineRule="auto"/>
        <w:rPr>
          <w:rFonts w:ascii="Times New Roman" w:hAnsi="Times New Roman" w:eastAsia="宋体" w:cs="宋体"/>
          <w:color w:val="000000"/>
          <w:sz w:val="24"/>
        </w:rPr>
      </w:pPr>
      <w:r>
        <w:rPr>
          <w:rFonts w:hint="eastAsia" w:ascii="Times New Roman" w:hAnsi="Times New Roman" w:eastAsia="宋体" w:cs="宋体"/>
          <w:color w:val="000000"/>
          <w:sz w:val="24"/>
        </w:rPr>
        <w:t>3.3.3 饲料投喂</w:t>
      </w:r>
    </w:p>
    <w:p>
      <w:pPr>
        <w:spacing w:line="360" w:lineRule="auto"/>
        <w:ind w:firstLine="480" w:firstLineChars="200"/>
        <w:rPr>
          <w:rFonts w:ascii="Times New Roman" w:hAnsi="Times New Roman" w:eastAsia="宋体" w:cs="宋体"/>
          <w:color w:val="000000"/>
          <w:sz w:val="24"/>
        </w:rPr>
      </w:pPr>
      <w:r>
        <w:rPr>
          <w:rFonts w:hint="eastAsia" w:ascii="Times New Roman" w:hAnsi="Times New Roman" w:eastAsia="宋体" w:cs="宋体"/>
          <w:color w:val="000000"/>
          <w:sz w:val="24"/>
        </w:rPr>
        <w:t>卵形鲳鲹投喂应选择专用膨化饲料进行投喂，饲料质量应符合 NY/T 3474 的规定。（梁前才等，2024）得出卵形鲳鲹网箱成鱼养殖每天投喂两次，在涨潮到7分(或退潮到3分)时投喂，10-100g/尾日投喂量为体重的5-6%、100-300g/尾日投喂量为体重的3-4%、300g/尾以上时日投喂量为体重的2-3%。项目组综合实验研究结果、生产数据及文献材料，卵形鲳鲹投喂时观察浪潮，缓潮在潮头投喂、急潮不投、最好平潮投喂；高温、阴雨天气、水质恶化、患病等情形下少投或不投。每天投喂 2-3次，在潮头投喂，日投饲量根据鱼体规格决定：按照体重5%-8%投喂。</w:t>
      </w:r>
    </w:p>
    <w:p>
      <w:pPr>
        <w:spacing w:line="360" w:lineRule="auto"/>
        <w:rPr>
          <w:rFonts w:ascii="Times New Roman" w:hAnsi="Times New Roman" w:eastAsia="宋体" w:cs="宋体"/>
          <w:color w:val="000000"/>
          <w:sz w:val="24"/>
        </w:rPr>
      </w:pPr>
      <w:r>
        <w:rPr>
          <w:rFonts w:hint="eastAsia" w:ascii="Times New Roman" w:hAnsi="Times New Roman" w:eastAsia="宋体" w:cs="宋体"/>
          <w:color w:val="000000"/>
          <w:sz w:val="24"/>
        </w:rPr>
        <w:t>3.3.4 日常管理</w:t>
      </w:r>
    </w:p>
    <w:p>
      <w:pPr>
        <w:spacing w:line="360" w:lineRule="auto"/>
        <w:ind w:firstLine="480" w:firstLineChars="200"/>
        <w:rPr>
          <w:rFonts w:ascii="Times New Roman" w:hAnsi="Times New Roman" w:eastAsia="宋体" w:cs="宋体"/>
          <w:color w:val="000000"/>
          <w:sz w:val="24"/>
        </w:rPr>
      </w:pPr>
      <w:r>
        <w:rPr>
          <w:rFonts w:hint="eastAsia" w:ascii="Times New Roman" w:hAnsi="Times New Roman" w:eastAsia="宋体" w:cs="宋体"/>
          <w:color w:val="000000"/>
          <w:sz w:val="24"/>
        </w:rPr>
        <w:t>海上网箱养殖日常管理应包含日常巡检、网衣检查与清洗、病害防治等工作。每 15 d～30 d 视网衣污损生物附着量换洗网衣。可采用高压水枪喷洗、暴晒等方式清洗网衣。</w:t>
      </w:r>
    </w:p>
    <w:p>
      <w:pPr>
        <w:pStyle w:val="7"/>
        <w:numPr>
          <w:ilvl w:val="1"/>
          <w:numId w:val="0"/>
        </w:numPr>
        <w:ind w:left="567" w:hanging="567"/>
        <w:rPr>
          <w:rStyle w:val="12"/>
          <w:rFonts w:ascii="黑体" w:hAnsi="黑体" w:cs="黑体"/>
          <w:b w:val="0"/>
          <w:bCs w:val="0"/>
        </w:rPr>
      </w:pPr>
      <w:r>
        <w:rPr>
          <w:rStyle w:val="12"/>
          <w:rFonts w:hint="eastAsia" w:ascii="黑体" w:hAnsi="黑体" w:cs="黑体"/>
          <w:b w:val="0"/>
          <w:bCs w:val="0"/>
        </w:rPr>
        <w:t>3.4 大规格鱼种运输</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当达到大规格鱼种</w:t>
      </w:r>
      <w:r>
        <w:rPr>
          <w:rFonts w:hint="eastAsia" w:ascii="Times New Roman" w:hAnsi="Times New Roman" w:eastAsia="宋体" w:cs="宋体"/>
          <w:color w:val="000000"/>
          <w:sz w:val="24"/>
        </w:rPr>
        <w:t>（</w:t>
      </w:r>
      <w:r>
        <w:rPr>
          <w:rFonts w:ascii="Times New Roman" w:hAnsi="Times New Roman" w:eastAsia="宋体" w:cs="宋体"/>
          <w:color w:val="000000"/>
          <w:sz w:val="24"/>
        </w:rPr>
        <w:t>50.0 g</w:t>
      </w:r>
      <w:r>
        <w:rPr>
          <w:rFonts w:hint="eastAsia" w:ascii="Times New Roman" w:hAnsi="Times New Roman" w:eastAsia="宋体" w:cs="宋体"/>
          <w:color w:val="000000"/>
          <w:sz w:val="24"/>
        </w:rPr>
        <w:t>/尾</w:t>
      </w:r>
      <w:r>
        <w:rPr>
          <w:rFonts w:ascii="Times New Roman" w:hAnsi="Times New Roman" w:eastAsia="宋体" w:cs="宋体"/>
          <w:color w:val="000000"/>
          <w:sz w:val="24"/>
        </w:rPr>
        <w:t>～1</w:t>
      </w:r>
      <w:r>
        <w:rPr>
          <w:rFonts w:hint="eastAsia" w:ascii="Times New Roman" w:hAnsi="Times New Roman" w:eastAsia="宋体" w:cs="宋体"/>
          <w:color w:val="000000"/>
          <w:sz w:val="24"/>
        </w:rPr>
        <w:t>25</w:t>
      </w:r>
      <w:r>
        <w:rPr>
          <w:rFonts w:ascii="Times New Roman" w:hAnsi="Times New Roman" w:eastAsia="宋体" w:cs="宋体"/>
          <w:color w:val="000000"/>
          <w:sz w:val="24"/>
        </w:rPr>
        <w:t>.0 g</w:t>
      </w:r>
      <w:r>
        <w:rPr>
          <w:rFonts w:hint="eastAsia" w:ascii="Times New Roman" w:hAnsi="Times New Roman" w:eastAsia="宋体" w:cs="宋体"/>
          <w:color w:val="000000"/>
          <w:sz w:val="24"/>
        </w:rPr>
        <w:t>/尾）</w:t>
      </w:r>
      <w:r>
        <w:rPr>
          <w:rFonts w:ascii="Times New Roman" w:hAnsi="Times New Roman" w:eastAsia="宋体" w:cs="宋体"/>
          <w:color w:val="000000"/>
          <w:sz w:val="24"/>
        </w:rPr>
        <w:t>时，停饵 1 d</w:t>
      </w:r>
      <w:r>
        <w:rPr>
          <w:rFonts w:hint="eastAsia" w:ascii="Times New Roman" w:hAnsi="Times New Roman" w:eastAsia="宋体" w:cs="宋体"/>
          <w:color w:val="000000"/>
          <w:sz w:val="24"/>
        </w:rPr>
        <w:t>，</w:t>
      </w:r>
      <w:r>
        <w:rPr>
          <w:rFonts w:ascii="Times New Roman" w:hAnsi="Times New Roman" w:eastAsia="宋体" w:cs="宋体"/>
          <w:color w:val="000000"/>
          <w:sz w:val="24"/>
        </w:rPr>
        <w:t>拉网将鱼群聚拢分鱼。分鱼结束后，用活水船将鱼种运输至附近深水网箱</w:t>
      </w:r>
      <w:r>
        <w:rPr>
          <w:rFonts w:hint="eastAsia" w:ascii="Times New Roman" w:hAnsi="Times New Roman" w:eastAsia="宋体" w:cs="宋体"/>
          <w:color w:val="000000"/>
          <w:sz w:val="24"/>
        </w:rPr>
        <w:t>或其他养殖设施；项目组通过多次生产实验与总结得出，活水船在100 m</w:t>
      </w:r>
      <w:r>
        <w:rPr>
          <w:rFonts w:hint="eastAsia" w:ascii="Times New Roman" w:hAnsi="Times New Roman" w:eastAsia="宋体" w:cs="宋体"/>
          <w:color w:val="000000"/>
          <w:sz w:val="24"/>
          <w:vertAlign w:val="superscript"/>
        </w:rPr>
        <w:t>3</w:t>
      </w:r>
      <w:r>
        <w:rPr>
          <w:rFonts w:hint="eastAsia" w:ascii="Times New Roman" w:hAnsi="Times New Roman" w:eastAsia="宋体" w:cs="宋体"/>
          <w:color w:val="000000"/>
          <w:sz w:val="24"/>
        </w:rPr>
        <w:t>水体情况下可运输12万尾大规格苗种，运输密度为120 ind/m</w:t>
      </w:r>
      <w:r>
        <w:rPr>
          <w:rFonts w:hint="eastAsia" w:ascii="Times New Roman" w:hAnsi="Times New Roman" w:eastAsia="宋体" w:cs="宋体"/>
          <w:color w:val="000000"/>
          <w:sz w:val="24"/>
          <w:vertAlign w:val="superscript"/>
        </w:rPr>
        <w:t>3</w:t>
      </w:r>
      <w:r>
        <w:rPr>
          <w:rFonts w:hint="eastAsia" w:ascii="Times New Roman" w:hAnsi="Times New Roman" w:eastAsia="宋体" w:cs="宋体"/>
          <w:color w:val="000000"/>
          <w:sz w:val="24"/>
        </w:rPr>
        <w:t>～140 ind/m</w:t>
      </w:r>
      <w:r>
        <w:rPr>
          <w:rFonts w:hint="eastAsia" w:ascii="Times New Roman" w:hAnsi="Times New Roman" w:eastAsia="宋体" w:cs="宋体"/>
          <w:color w:val="000000"/>
          <w:sz w:val="24"/>
          <w:vertAlign w:val="superscript"/>
        </w:rPr>
        <w:t>3</w:t>
      </w:r>
      <w:r>
        <w:rPr>
          <w:rFonts w:hint="eastAsia" w:ascii="Times New Roman" w:hAnsi="Times New Roman" w:eastAsia="宋体" w:cs="宋体"/>
          <w:color w:val="000000"/>
          <w:sz w:val="24"/>
        </w:rPr>
        <w:t>，当苗种运输至制定养殖网箱后可采用吊机加网框的方式将鱼苗从活水船运送至重力式网箱养殖。</w:t>
      </w:r>
    </w:p>
    <w:p>
      <w:pPr>
        <w:spacing w:line="360" w:lineRule="auto"/>
        <w:rPr>
          <w:rFonts w:ascii="Times New Roman" w:hAnsi="Times New Roman" w:eastAsia="宋体" w:cs="宋体"/>
          <w:color w:val="000000"/>
          <w:sz w:val="24"/>
        </w:rPr>
      </w:pPr>
      <w:r>
        <w:rPr>
          <w:rFonts w:hint="eastAsia" w:ascii="Times New Roman" w:hAnsi="Times New Roman" w:eastAsia="宋体" w:cs="宋体"/>
          <w:color w:val="000000"/>
          <w:sz w:val="24"/>
        </w:rPr>
        <w:t>3.5 鱼种质量检测</w:t>
      </w:r>
    </w:p>
    <w:p>
      <w:pPr>
        <w:spacing w:line="360" w:lineRule="auto"/>
        <w:ind w:firstLine="480" w:firstLineChars="200"/>
        <w:rPr>
          <w:rFonts w:ascii="Times New Roman" w:hAnsi="Times New Roman" w:eastAsia="宋体" w:cs="宋体"/>
          <w:color w:val="000000"/>
          <w:sz w:val="24"/>
        </w:rPr>
      </w:pPr>
      <w:r>
        <w:rPr>
          <w:rFonts w:hint="eastAsia" w:ascii="Times New Roman" w:hAnsi="Times New Roman" w:eastAsia="宋体" w:cs="宋体"/>
          <w:color w:val="000000"/>
          <w:sz w:val="24"/>
        </w:rPr>
        <w:t>出苗前对苗种质量进行检测，体型、体色正常、鳍条、鳞片完整、体质健壮、反应灵敏，苗种畸形率≤1%，伤残率≤3%，不得检出神经坏死病毒和刺激隐核虫等致病性强、危害大得疾病</w:t>
      </w:r>
      <w:r>
        <w:rPr>
          <w:rFonts w:hint="eastAsia" w:ascii="Times New Roman" w:hAnsi="Times New Roman" w:eastAsia="宋体" w:cs="宋体"/>
          <w:color w:val="000000"/>
          <w:sz w:val="24"/>
          <w:lang w:eastAsia="zh-CN"/>
        </w:rPr>
        <w:t>，神经坏死病毒按SC/T 7216的规定执行，刺激隐核虫病检测按照GB/T 34733的规定执行</w:t>
      </w:r>
      <w:r>
        <w:rPr>
          <w:rFonts w:hint="eastAsia" w:ascii="Times New Roman" w:hAnsi="Times New Roman" w:eastAsia="宋体" w:cs="宋体"/>
          <w:color w:val="000000"/>
          <w:sz w:val="24"/>
        </w:rPr>
        <w:t>。</w:t>
      </w:r>
    </w:p>
    <w:p>
      <w:pPr>
        <w:pStyle w:val="7"/>
        <w:numPr>
          <w:ilvl w:val="1"/>
          <w:numId w:val="0"/>
        </w:numPr>
        <w:ind w:left="567" w:hanging="567"/>
        <w:rPr>
          <w:rStyle w:val="12"/>
          <w:rFonts w:ascii="黑体" w:hAnsi="黑体" w:cs="黑体"/>
          <w:b w:val="0"/>
          <w:bCs w:val="0"/>
        </w:rPr>
      </w:pPr>
      <w:r>
        <w:rPr>
          <w:rStyle w:val="12"/>
          <w:rFonts w:hint="eastAsia" w:ascii="黑体" w:hAnsi="黑体" w:cs="黑体"/>
          <w:b w:val="0"/>
          <w:bCs w:val="0"/>
        </w:rPr>
        <w:t>3.6 病害防治</w:t>
      </w:r>
    </w:p>
    <w:p>
      <w:pPr>
        <w:spacing w:line="360" w:lineRule="auto"/>
        <w:ind w:firstLine="480" w:firstLineChars="200"/>
        <w:rPr>
          <w:rFonts w:ascii="Times New Roman" w:hAnsi="Times New Roman" w:eastAsia="宋体" w:cs="宋体"/>
          <w:color w:val="000000"/>
          <w:sz w:val="24"/>
        </w:rPr>
      </w:pPr>
      <w:r>
        <w:rPr>
          <w:rFonts w:hint="eastAsia" w:ascii="Times New Roman" w:hAnsi="Times New Roman" w:eastAsia="宋体" w:cs="宋体"/>
          <w:color w:val="000000"/>
          <w:sz w:val="24"/>
        </w:rPr>
        <w:t>主要预防措施以环境、机体、病原体三因素的相互关系为指导，通过消灭病原体和切断传播途径、提高鱼类体质和免疫力，达到病害预防的目的。贯彻“以防为主”的防治理念，可采取以下预防措施：保持良好的水质环境；保持合理的培育密度；保证饲料新鲜和营养全面，科学投喂；适当在预混合配合饲料、粉料中添加大蒜素、免疫多糖或中草药制剂等，提高鱼类免疫力；操作规范，避免鱼体受伤；在病害流行季节，采用药物拌饵方式进行预防。</w:t>
      </w:r>
      <w:r>
        <w:rPr>
          <w:rFonts w:ascii="Times New Roman" w:hAnsi="Times New Roman" w:eastAsia="宋体" w:cs="宋体"/>
          <w:color w:val="000000"/>
          <w:sz w:val="24"/>
        </w:rPr>
        <w:t>药物使用应符合 SC/T 1132 规定。</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目前，卵形鲳鲹苗种繁育阶段的常见病害有寄生虫疾病、细菌疾病及病毒性</w:t>
      </w:r>
    </w:p>
    <w:p>
      <w:pPr>
        <w:spacing w:line="360" w:lineRule="auto"/>
        <w:rPr>
          <w:rFonts w:ascii="Times New Roman" w:hAnsi="Times New Roman" w:eastAsia="宋体" w:cs="宋体"/>
          <w:color w:val="000000"/>
          <w:sz w:val="24"/>
          <w:highlight w:val="yellow"/>
        </w:rPr>
      </w:pPr>
      <w:r>
        <w:rPr>
          <w:rFonts w:ascii="Times New Roman" w:hAnsi="Times New Roman" w:eastAsia="宋体" w:cs="宋体"/>
          <w:color w:val="000000"/>
          <w:sz w:val="24"/>
        </w:rPr>
        <w:t>疾病，其治疗方法见表</w:t>
      </w:r>
      <w:r>
        <w:rPr>
          <w:rFonts w:hint="eastAsia" w:ascii="Times New Roman" w:hAnsi="Times New Roman" w:eastAsia="宋体" w:cs="宋体"/>
          <w:color w:val="000000"/>
          <w:sz w:val="24"/>
        </w:rPr>
        <w:t>1</w:t>
      </w:r>
      <w:r>
        <w:rPr>
          <w:rFonts w:ascii="Times New Roman" w:hAnsi="Times New Roman" w:eastAsia="宋体" w:cs="宋体"/>
          <w:color w:val="000000"/>
          <w:sz w:val="24"/>
        </w:rPr>
        <w:t>。</w:t>
      </w:r>
    </w:p>
    <w:tbl>
      <w:tblPr>
        <w:tblStyle w:val="10"/>
        <w:tblW w:w="832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95"/>
        <w:gridCol w:w="2044"/>
        <w:gridCol w:w="2169"/>
        <w:gridCol w:w="211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tcBorders>
              <w:top w:val="single" w:color="auto" w:sz="8" w:space="0"/>
              <w:bottom w:val="single" w:color="auto" w:sz="8" w:space="0"/>
            </w:tcBorders>
          </w:tcPr>
          <w:p>
            <w:pPr>
              <w:widowControl/>
              <w:jc w:val="center"/>
              <w:outlineLvl w:val="3"/>
              <w:rPr>
                <w:rFonts w:ascii="宋体" w:hAnsi="宋体"/>
                <w:color w:val="000000" w:themeColor="text1"/>
                <w:kern w:val="0"/>
                <w14:textFill>
                  <w14:solidFill>
                    <w14:schemeClr w14:val="tx1"/>
                  </w14:solidFill>
                </w14:textFill>
              </w:rPr>
            </w:pPr>
            <w:bookmarkStart w:id="0" w:name="_Hlk198120918"/>
            <w:r>
              <w:rPr>
                <w:rFonts w:hint="eastAsia" w:ascii="宋体" w:hAnsi="宋体"/>
                <w:color w:val="000000" w:themeColor="text1"/>
                <w:kern w:val="0"/>
                <w14:textFill>
                  <w14:solidFill>
                    <w14:schemeClr w14:val="tx1"/>
                  </w14:solidFill>
                </w14:textFill>
              </w:rPr>
              <w:t>病害名称</w:t>
            </w:r>
          </w:p>
        </w:tc>
        <w:tc>
          <w:tcPr>
            <w:tcW w:w="2044" w:type="dxa"/>
            <w:tcBorders>
              <w:top w:val="single" w:color="auto" w:sz="8" w:space="0"/>
              <w:bottom w:val="single" w:color="auto" w:sz="8" w:space="0"/>
            </w:tcBorders>
          </w:tcPr>
          <w:p>
            <w:pPr>
              <w:widowControl/>
              <w:jc w:val="center"/>
              <w:outlineLvl w:val="3"/>
              <w:rPr>
                <w:rFonts w:ascii="宋体" w:hAnsi="宋体"/>
                <w:color w:val="000000" w:themeColor="text1"/>
                <w:kern w:val="0"/>
                <w14:textFill>
                  <w14:solidFill>
                    <w14:schemeClr w14:val="tx1"/>
                  </w14:solidFill>
                </w14:textFill>
              </w:rPr>
            </w:pPr>
            <w:r>
              <w:rPr>
                <w:rFonts w:hint="eastAsia"/>
              </w:rPr>
              <w:t>症状</w:t>
            </w:r>
          </w:p>
        </w:tc>
        <w:tc>
          <w:tcPr>
            <w:tcW w:w="2169" w:type="dxa"/>
            <w:tcBorders>
              <w:top w:val="single" w:color="auto" w:sz="8" w:space="0"/>
              <w:bottom w:val="single" w:color="auto" w:sz="8" w:space="0"/>
            </w:tcBorders>
            <w:shd w:val="clear" w:color="auto" w:fill="auto"/>
            <w:vAlign w:val="center"/>
          </w:tcPr>
          <w:p>
            <w:pPr>
              <w:widowControl/>
              <w:jc w:val="center"/>
              <w:outlineLvl w:val="3"/>
              <w:rPr>
                <w:rFonts w:ascii="宋体" w:hAnsi="宋体"/>
                <w:color w:val="000000" w:themeColor="text1"/>
                <w:kern w:val="0"/>
                <w14:textFill>
                  <w14:solidFill>
                    <w14:schemeClr w14:val="tx1"/>
                  </w14:solidFill>
                </w14:textFill>
              </w:rPr>
            </w:pPr>
            <w:r>
              <w:rPr>
                <w:rFonts w:hint="eastAsia" w:ascii="宋体" w:hAnsi="宋体"/>
                <w:color w:val="000000" w:themeColor="text1"/>
                <w:kern w:val="0"/>
                <w14:textFill>
                  <w14:solidFill>
                    <w14:schemeClr w14:val="tx1"/>
                  </w14:solidFill>
                </w14:textFill>
              </w:rPr>
              <w:t>流行阶段与季节</w:t>
            </w:r>
          </w:p>
        </w:tc>
        <w:tc>
          <w:tcPr>
            <w:tcW w:w="2118" w:type="dxa"/>
            <w:tcBorders>
              <w:top w:val="single" w:color="auto" w:sz="8" w:space="0"/>
              <w:bottom w:val="single" w:color="auto" w:sz="8" w:space="0"/>
            </w:tcBorders>
            <w:shd w:val="clear" w:color="auto" w:fill="auto"/>
            <w:vAlign w:val="center"/>
          </w:tcPr>
          <w:p>
            <w:pPr>
              <w:widowControl/>
              <w:jc w:val="center"/>
              <w:outlineLvl w:val="3"/>
              <w:rPr>
                <w:rFonts w:ascii="宋体" w:hAnsi="宋体"/>
                <w:color w:val="000000" w:themeColor="text1"/>
                <w:kern w:val="0"/>
                <w14:textFill>
                  <w14:solidFill>
                    <w14:schemeClr w14:val="tx1"/>
                  </w14:solidFill>
                </w14:textFill>
              </w:rPr>
            </w:pPr>
            <w:r>
              <w:rPr>
                <w:rFonts w:hint="eastAsia" w:ascii="宋体" w:hAnsi="宋体"/>
                <w:color w:val="000000" w:themeColor="text1"/>
                <w:kern w:val="0"/>
                <w14:textFill>
                  <w14:solidFill>
                    <w14:schemeClr w14:val="tx1"/>
                  </w14:solidFill>
                </w14:textFill>
              </w:rPr>
              <w:t>治</w:t>
            </w:r>
            <w:r>
              <w:rPr>
                <w:rFonts w:ascii="宋体" w:hAnsi="宋体"/>
                <w:color w:val="000000" w:themeColor="text1"/>
                <w:kern w:val="0"/>
                <w14:textFill>
                  <w14:solidFill>
                    <w14:schemeClr w14:val="tx1"/>
                  </w14:solidFill>
                </w14:textFill>
              </w:rPr>
              <w:t>疗方法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tcBorders>
              <w:top w:val="single" w:color="auto" w:sz="8" w:space="0"/>
            </w:tcBorders>
          </w:tcPr>
          <w:p>
            <w:pPr>
              <w:ind w:right="105" w:rightChars="50"/>
              <w:outlineLvl w:val="3"/>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刺激隐核虫病</w:t>
            </w:r>
          </w:p>
        </w:tc>
        <w:tc>
          <w:tcPr>
            <w:tcW w:w="2044" w:type="dxa"/>
            <w:tcBorders>
              <w:top w:val="single" w:color="auto" w:sz="8" w:space="0"/>
            </w:tcBorders>
          </w:tcPr>
          <w:p>
            <w:pPr>
              <w:ind w:right="105" w:rightChars="50"/>
              <w:outlineLvl w:val="3"/>
              <w:rPr>
                <w:rFonts w:ascii="宋体" w:hAnsi="宋体"/>
                <w:color w:val="000000" w:themeColor="text1"/>
                <w:kern w:val="0"/>
                <w:sz w:val="18"/>
                <w:szCs w:val="18"/>
                <w14:textFill>
                  <w14:solidFill>
                    <w14:schemeClr w14:val="tx1"/>
                  </w14:solidFill>
                </w14:textFill>
              </w:rPr>
            </w:pPr>
            <w:r>
              <w:rPr>
                <w:rFonts w:hint="eastAsia"/>
                <w:sz w:val="18"/>
                <w:szCs w:val="18"/>
              </w:rPr>
              <w:t>病原为刺激隐核虫。主要寄生在体表和鳃上，肉眼可见病鱼体表布满小白点，病鱼呈不安状态，不断在固着物上摩擦，引起皮肤出血、溃烂，易导致细菌继发性感染。</w:t>
            </w:r>
          </w:p>
        </w:tc>
        <w:tc>
          <w:tcPr>
            <w:tcW w:w="2169" w:type="dxa"/>
            <w:tcBorders>
              <w:top w:val="single" w:color="auto" w:sz="8" w:space="0"/>
            </w:tcBorders>
            <w:shd w:val="clear" w:color="auto" w:fill="auto"/>
            <w:vAlign w:val="center"/>
          </w:tcPr>
          <w:p>
            <w:pPr>
              <w:ind w:right="105" w:rightChars="50"/>
              <w:outlineLvl w:val="3"/>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苗种至亲鱼所有阶段；</w:t>
            </w:r>
          </w:p>
          <w:p>
            <w:pPr>
              <w:ind w:right="105" w:rightChars="50"/>
              <w:outlineLvl w:val="3"/>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6月～10月流行，最适繁殖水温29 ℃～30 ℃。</w:t>
            </w:r>
          </w:p>
        </w:tc>
        <w:tc>
          <w:tcPr>
            <w:tcW w:w="2118" w:type="dxa"/>
            <w:tcBorders>
              <w:top w:val="single" w:color="auto" w:sz="8" w:space="0"/>
            </w:tcBorders>
            <w:shd w:val="clear" w:color="auto" w:fill="auto"/>
            <w:vAlign w:val="center"/>
          </w:tcPr>
          <w:p>
            <w:pPr>
              <w:ind w:left="105" w:leftChars="50"/>
              <w:outlineLvl w:val="3"/>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淡水浸浴</w:t>
            </w:r>
            <w:r>
              <w:rPr>
                <w:rFonts w:ascii="宋体" w:hAnsi="宋体"/>
                <w:color w:val="000000" w:themeColor="text1"/>
                <w:kern w:val="0"/>
                <w:sz w:val="18"/>
                <w:szCs w:val="18"/>
                <w14:textFill>
                  <w14:solidFill>
                    <w14:schemeClr w14:val="tx1"/>
                  </w14:solidFill>
                </w14:textFill>
              </w:rPr>
              <w:t xml:space="preserve"> 8</w:t>
            </w:r>
            <w:r>
              <w:rPr>
                <w:rFonts w:hint="eastAsia" w:ascii="宋体" w:hAnsi="宋体"/>
                <w:color w:val="000000" w:themeColor="text1"/>
                <w:kern w:val="0"/>
                <w:sz w:val="18"/>
                <w:szCs w:val="18"/>
                <w14:textFill>
                  <w14:solidFill>
                    <w14:schemeClr w14:val="tx1"/>
                  </w14:solidFill>
                </w14:textFill>
              </w:rPr>
              <w:t xml:space="preserve"> min</w:t>
            </w:r>
            <w:r>
              <w:rPr>
                <w:rFonts w:ascii="宋体" w:hAnsi="宋体"/>
                <w:color w:val="000000" w:themeColor="text1"/>
                <w:kern w:val="0"/>
                <w:sz w:val="18"/>
                <w:szCs w:val="18"/>
                <w14:textFill>
                  <w14:solidFill>
                    <w14:schemeClr w14:val="tx1"/>
                  </w14:solidFill>
                </w14:textFill>
              </w:rPr>
              <w:t xml:space="preserve">～10 </w:t>
            </w:r>
            <w:r>
              <w:rPr>
                <w:rFonts w:hint="eastAsia" w:ascii="宋体" w:hAnsi="宋体"/>
                <w:color w:val="000000" w:themeColor="text1"/>
                <w:kern w:val="0"/>
                <w:sz w:val="18"/>
                <w:szCs w:val="18"/>
                <w14:textFill>
                  <w14:solidFill>
                    <w14:schemeClr w14:val="tx1"/>
                  </w14:solidFill>
                </w14:textFill>
              </w:rPr>
              <w:t>min</w:t>
            </w:r>
            <w:r>
              <w:rPr>
                <w:rFonts w:ascii="宋体" w:hAnsi="宋体"/>
                <w:color w:val="000000" w:themeColor="text1"/>
                <w:kern w:val="0"/>
                <w:sz w:val="18"/>
                <w:szCs w:val="18"/>
                <w14:textFill>
                  <w14:solidFill>
                    <w14:schemeClr w14:val="tx1"/>
                  </w14:solidFill>
                </w14:textFill>
              </w:rPr>
              <w:t>后，再用 20 mg/m</w:t>
            </w:r>
            <w:r>
              <w:rPr>
                <w:rFonts w:ascii="宋体" w:hAnsi="宋体"/>
                <w:color w:val="000000" w:themeColor="text1"/>
                <w:kern w:val="0"/>
                <w:sz w:val="18"/>
                <w:szCs w:val="18"/>
                <w:vertAlign w:val="superscript"/>
                <w14:textFill>
                  <w14:solidFill>
                    <w14:schemeClr w14:val="tx1"/>
                  </w14:solidFill>
                </w14:textFill>
              </w:rPr>
              <w:t>3</w:t>
            </w:r>
            <w:r>
              <w:rPr>
                <w:rFonts w:ascii="宋体" w:hAnsi="宋体"/>
                <w:color w:val="000000" w:themeColor="text1"/>
                <w:kern w:val="0"/>
                <w:sz w:val="18"/>
                <w:szCs w:val="18"/>
                <w14:textFill>
                  <w14:solidFill>
                    <w14:schemeClr w14:val="tx1"/>
                  </w14:solidFill>
                </w14:textFill>
              </w:rPr>
              <w:t xml:space="preserve">福尔马林淡水溶液或 20 mg/L 高锰酸钾淡水溶液浸泡10 </w:t>
            </w:r>
            <w:r>
              <w:rPr>
                <w:rFonts w:hint="eastAsia" w:ascii="宋体" w:hAnsi="宋体"/>
                <w:color w:val="000000" w:themeColor="text1"/>
                <w:kern w:val="0"/>
                <w:sz w:val="18"/>
                <w:szCs w:val="18"/>
                <w14:textFill>
                  <w14:solidFill>
                    <w14:schemeClr w14:val="tx1"/>
                  </w14:solidFill>
                </w14:textFill>
              </w:rPr>
              <w:t>min</w:t>
            </w:r>
            <w:r>
              <w:rPr>
                <w:rFonts w:ascii="宋体" w:hAnsi="宋体"/>
                <w:color w:val="000000" w:themeColor="text1"/>
                <w:kern w:val="0"/>
                <w:sz w:val="18"/>
                <w:szCs w:val="18"/>
                <w14:textFill>
                  <w14:solidFill>
                    <w14:schemeClr w14:val="tx1"/>
                  </w14:solidFill>
                </w14:textFill>
              </w:rPr>
              <w:t>，每天一次，反复多次</w:t>
            </w:r>
            <w:r>
              <w:rPr>
                <w:rFonts w:hint="eastAsia" w:ascii="宋体" w:hAnsi="宋体"/>
                <w:color w:val="000000" w:themeColor="text1"/>
                <w:kern w:val="0"/>
                <w:sz w:val="18"/>
                <w:szCs w:val="18"/>
                <w14:textFill>
                  <w14:solidFill>
                    <w14:schemeClr w14:val="tx1"/>
                  </w14:solidFill>
                </w14:textFill>
              </w:rPr>
              <w:t>清洗</w:t>
            </w:r>
            <w:r>
              <w:rPr>
                <w:rFonts w:ascii="宋体" w:hAnsi="宋体"/>
                <w:color w:val="000000" w:themeColor="text1"/>
                <w:kern w:val="0"/>
                <w:sz w:val="18"/>
                <w:szCs w:val="18"/>
                <w14:textFill>
                  <w14:solidFill>
                    <w14:schemeClr w14:val="tx1"/>
                  </w14:solidFill>
                </w14:textFill>
              </w:rPr>
              <w:t>；五万分之一的硫酸铜和硫酸镁加 1%食盐混合浸泡 20</w:t>
            </w:r>
            <w:r>
              <w:rPr>
                <w:rFonts w:hint="eastAsia" w:ascii="宋体" w:hAnsi="宋体"/>
                <w:color w:val="000000" w:themeColor="text1"/>
                <w:kern w:val="0"/>
                <w:sz w:val="18"/>
                <w:szCs w:val="18"/>
                <w14:textFill>
                  <w14:solidFill>
                    <w14:schemeClr w14:val="tx1"/>
                  </w14:solidFill>
                </w14:textFill>
              </w:rPr>
              <w:t xml:space="preserve"> min</w:t>
            </w:r>
            <w:r>
              <w:rPr>
                <w:rFonts w:ascii="宋体" w:hAnsi="宋体"/>
                <w:color w:val="000000" w:themeColor="text1"/>
                <w:kern w:val="0"/>
                <w:sz w:val="18"/>
                <w:szCs w:val="18"/>
                <w14:textFill>
                  <w14:solidFill>
                    <w14:schemeClr w14:val="tx1"/>
                  </w14:solidFill>
                </w14:textFill>
              </w:rPr>
              <w:t xml:space="preserve">～30 </w:t>
            </w:r>
            <w:r>
              <w:rPr>
                <w:rFonts w:hint="eastAsia" w:ascii="宋体" w:hAnsi="宋体"/>
                <w:color w:val="000000" w:themeColor="text1"/>
                <w:kern w:val="0"/>
                <w:sz w:val="18"/>
                <w:szCs w:val="18"/>
                <w14:textFill>
                  <w14:solidFill>
                    <w14:schemeClr w14:val="tx1"/>
                  </w14:solidFill>
                </w14:textFill>
              </w:rPr>
              <w:t>min。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tcPr>
          <w:p>
            <w:pPr>
              <w:ind w:right="105" w:rightChars="50"/>
              <w:outlineLvl w:val="3"/>
              <w:rPr>
                <w:rFonts w:ascii="宋体" w:hAnsi="宋体"/>
                <w:color w:val="000000" w:themeColor="text1"/>
                <w:kern w:val="0"/>
                <w:sz w:val="18"/>
                <w:szCs w:val="18"/>
                <w:highlight w:val="yellow"/>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链球菌病</w:t>
            </w:r>
          </w:p>
        </w:tc>
        <w:tc>
          <w:tcPr>
            <w:tcW w:w="2044" w:type="dxa"/>
          </w:tcPr>
          <w:p>
            <w:pPr>
              <w:ind w:right="105" w:rightChars="50"/>
              <w:outlineLvl w:val="3"/>
              <w:rPr>
                <w:rFonts w:ascii="宋体" w:hAnsi="宋体"/>
                <w:color w:val="000000" w:themeColor="text1"/>
                <w:kern w:val="0"/>
                <w:sz w:val="18"/>
                <w:szCs w:val="18"/>
                <w:highlight w:val="yellow"/>
                <w14:textFill>
                  <w14:solidFill>
                    <w14:schemeClr w14:val="tx1"/>
                  </w14:solidFill>
                </w14:textFill>
              </w:rPr>
            </w:pPr>
            <w:r>
              <w:rPr>
                <w:rFonts w:hint="eastAsia"/>
                <w:sz w:val="18"/>
                <w:szCs w:val="18"/>
              </w:rPr>
              <w:t>病原为海豚链球菌。病鱼游动缓慢，分散于缓流处，浮于水面，或头向上、尾向下，呈悬垂状；临死时，病鱼或间断性狂游，或腹部向上；病鱼体色发黑，鳃贫血，眼球充血、肿大、突出甚至溃烂，并伴有大规模死亡。</w:t>
            </w:r>
          </w:p>
        </w:tc>
        <w:tc>
          <w:tcPr>
            <w:tcW w:w="2169" w:type="dxa"/>
            <w:shd w:val="clear" w:color="auto" w:fill="auto"/>
            <w:vAlign w:val="center"/>
          </w:tcPr>
          <w:p>
            <w:pPr>
              <w:ind w:right="105" w:rightChars="50"/>
              <w:outlineLvl w:val="3"/>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苗种至亲鱼所有阶段；</w:t>
            </w:r>
          </w:p>
          <w:p>
            <w:pPr>
              <w:ind w:right="105" w:rightChars="50"/>
              <w:outlineLvl w:val="3"/>
              <w:rPr>
                <w:rFonts w:ascii="宋体" w:hAnsi="宋体"/>
                <w:color w:val="000000" w:themeColor="text1"/>
                <w:kern w:val="0"/>
                <w:sz w:val="18"/>
                <w:szCs w:val="18"/>
                <w:highlight w:val="yellow"/>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主要流行于夏季。</w:t>
            </w:r>
          </w:p>
        </w:tc>
        <w:tc>
          <w:tcPr>
            <w:tcW w:w="2118" w:type="dxa"/>
            <w:shd w:val="clear" w:color="auto" w:fill="auto"/>
            <w:vAlign w:val="center"/>
          </w:tcPr>
          <w:p>
            <w:pPr>
              <w:ind w:left="105" w:leftChars="50"/>
              <w:outlineLvl w:val="3"/>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可使用四环素类药物，参照按照说明书进行投喂，注意休药期。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tcPr>
          <w:p>
            <w:pPr>
              <w:ind w:right="105" w:rightChars="50"/>
              <w:outlineLvl w:val="3"/>
              <w:rPr>
                <w:rFonts w:ascii="宋体" w:hAnsi="宋体"/>
                <w:color w:val="000000" w:themeColor="text1"/>
                <w:kern w:val="0"/>
                <w:sz w:val="18"/>
                <w:szCs w:val="18"/>
                <w:highlight w:val="yellow"/>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细菌性肠炎</w:t>
            </w:r>
          </w:p>
        </w:tc>
        <w:tc>
          <w:tcPr>
            <w:tcW w:w="2044" w:type="dxa"/>
          </w:tcPr>
          <w:p>
            <w:pPr>
              <w:ind w:right="105" w:rightChars="50"/>
              <w:outlineLvl w:val="3"/>
              <w:rPr>
                <w:rFonts w:ascii="宋体" w:hAnsi="宋体"/>
                <w:color w:val="000000" w:themeColor="text1"/>
                <w:kern w:val="0"/>
                <w:sz w:val="18"/>
                <w:szCs w:val="18"/>
                <w:highlight w:val="yellow"/>
                <w14:textFill>
                  <w14:solidFill>
                    <w14:schemeClr w14:val="tx1"/>
                  </w14:solidFill>
                </w14:textFill>
              </w:rPr>
            </w:pPr>
            <w:r>
              <w:rPr>
                <w:rFonts w:hint="eastAsia"/>
                <w:sz w:val="18"/>
                <w:szCs w:val="18"/>
              </w:rPr>
              <w:t>病原：嗜水气单胞菌，属弧菌科气单胞菌属。病鱼体色正常，但游泳速度减慢、食欲逐渐减退，挤压腹部，肛门处有黄色黏稠状物质排出。解剖鱼体，可发现腹腔有积水，肠道红肿发炎。</w:t>
            </w:r>
          </w:p>
        </w:tc>
        <w:tc>
          <w:tcPr>
            <w:tcW w:w="2169" w:type="dxa"/>
            <w:shd w:val="clear" w:color="auto" w:fill="auto"/>
            <w:vAlign w:val="center"/>
          </w:tcPr>
          <w:p>
            <w:pPr>
              <w:ind w:right="105" w:rightChars="50"/>
              <w:outlineLvl w:val="3"/>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鱼苗培育期；</w:t>
            </w:r>
          </w:p>
          <w:p>
            <w:pPr>
              <w:ind w:right="105" w:rightChars="50"/>
              <w:outlineLvl w:val="3"/>
              <w:rPr>
                <w:rFonts w:ascii="宋体" w:hAnsi="宋体"/>
                <w:color w:val="000000" w:themeColor="text1"/>
                <w:kern w:val="0"/>
                <w:sz w:val="18"/>
                <w:szCs w:val="18"/>
                <w:highlight w:val="yellow"/>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春夏之交流行。</w:t>
            </w:r>
          </w:p>
        </w:tc>
        <w:tc>
          <w:tcPr>
            <w:tcW w:w="2118" w:type="dxa"/>
            <w:shd w:val="clear" w:color="auto" w:fill="auto"/>
            <w:vAlign w:val="center"/>
          </w:tcPr>
          <w:p>
            <w:pPr>
              <w:ind w:left="105" w:leftChars="50"/>
              <w:outlineLvl w:val="3"/>
              <w:rPr>
                <w:rFonts w:ascii="宋体" w:hAnsi="宋体"/>
                <w:color w:val="000000" w:themeColor="text1"/>
                <w:kern w:val="0"/>
                <w:sz w:val="18"/>
                <w:szCs w:val="18"/>
                <w:highlight w:val="yellow"/>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可使用氟喹诺酮类药物如恩诺沙星，参照按照说明书进行投喂，注意休药期。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tcPr>
          <w:p>
            <w:pPr>
              <w:ind w:right="105" w:rightChars="50"/>
              <w:outlineLvl w:val="3"/>
              <w:rPr>
                <w:rFonts w:ascii="宋体" w:hAnsi="宋体" w:eastAsia="宋体"/>
                <w:color w:val="000000" w:themeColor="text1"/>
                <w:kern w:val="0"/>
                <w:sz w:val="18"/>
                <w:szCs w:val="18"/>
                <w14:textFill>
                  <w14:solidFill>
                    <w14:schemeClr w14:val="tx1"/>
                  </w14:solidFill>
                </w14:textFill>
              </w:rPr>
            </w:pPr>
            <w:r>
              <w:rPr>
                <w:rFonts w:hint="eastAsia" w:ascii="宋体" w:hAnsi="宋体" w:eastAsia="宋体"/>
                <w:color w:val="000000" w:themeColor="text1"/>
                <w:kern w:val="0"/>
                <w:sz w:val="18"/>
                <w:szCs w:val="18"/>
                <w14:textFill>
                  <w14:solidFill>
                    <w14:schemeClr w14:val="tx1"/>
                  </w14:solidFill>
                </w14:textFill>
              </w:rPr>
              <w:t>淀粉卵甲藻病</w:t>
            </w:r>
          </w:p>
        </w:tc>
        <w:tc>
          <w:tcPr>
            <w:tcW w:w="2044" w:type="dxa"/>
          </w:tcPr>
          <w:p>
            <w:pPr>
              <w:ind w:right="105" w:rightChars="50"/>
              <w:outlineLvl w:val="3"/>
              <w:rPr>
                <w:rFonts w:eastAsia="宋体"/>
                <w:sz w:val="18"/>
                <w:szCs w:val="18"/>
              </w:rPr>
            </w:pPr>
            <w:r>
              <w:rPr>
                <w:rFonts w:hint="eastAsia"/>
                <w:sz w:val="18"/>
                <w:szCs w:val="18"/>
              </w:rPr>
              <w:t>病原：眼点淀粉卵涡鞭虫，淀粉卵甲藻多寄生在鱼的体表、鳃丝、鳍条等部位，感染部位会出现很多“小白点”，鳃丝、体表黏液增多，鳃丝肿胀发炎，体表发黑、体质消瘦、活动呆滞。</w:t>
            </w:r>
          </w:p>
        </w:tc>
        <w:tc>
          <w:tcPr>
            <w:tcW w:w="2169" w:type="dxa"/>
            <w:shd w:val="clear" w:color="auto" w:fill="auto"/>
            <w:vAlign w:val="center"/>
          </w:tcPr>
          <w:p>
            <w:pPr>
              <w:ind w:right="105" w:rightChars="50"/>
              <w:outlineLvl w:val="3"/>
              <w:rPr>
                <w:rFonts w:ascii="宋体" w:hAnsi="宋体" w:eastAsia="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鱼苗培育期；在春末、夏季和初秋频繁爆发。</w:t>
            </w:r>
          </w:p>
        </w:tc>
        <w:tc>
          <w:tcPr>
            <w:tcW w:w="2118" w:type="dxa"/>
            <w:shd w:val="clear" w:color="auto" w:fill="auto"/>
            <w:vAlign w:val="center"/>
          </w:tcPr>
          <w:p>
            <w:pPr>
              <w:ind w:left="105" w:leftChars="50"/>
              <w:outlineLvl w:val="3"/>
              <w:rPr>
                <w:rFonts w:ascii="宋体" w:hAnsi="宋体" w:eastAsia="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可用淡水浸泡6 min</w:t>
            </w:r>
            <w:r>
              <w:rPr>
                <w:rFonts w:ascii="宋体" w:hAnsi="宋体"/>
                <w:color w:val="000000" w:themeColor="text1"/>
                <w:kern w:val="0"/>
                <w:sz w:val="18"/>
                <w:szCs w:val="18"/>
                <w14:textFill>
                  <w14:solidFill>
                    <w14:schemeClr w14:val="tx1"/>
                  </w14:solidFill>
                </w14:textFill>
              </w:rPr>
              <w:t>～</w:t>
            </w:r>
            <w:r>
              <w:rPr>
                <w:rFonts w:hint="eastAsia" w:ascii="宋体" w:hAnsi="宋体"/>
                <w:color w:val="000000" w:themeColor="text1"/>
                <w:kern w:val="0"/>
                <w:sz w:val="18"/>
                <w:szCs w:val="18"/>
                <w14:textFill>
                  <w14:solidFill>
                    <w14:schemeClr w14:val="tx1"/>
                  </w14:solidFill>
                </w14:textFill>
              </w:rPr>
              <w:t>10 min或高锰酸钾浸泡或者硫酸铜溶液浸泡，浸泡用量与时间参照按照说明书。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tcPr>
          <w:p>
            <w:pPr>
              <w:ind w:right="105" w:rightChars="50"/>
              <w:outlineLvl w:val="3"/>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本尼登虫病</w:t>
            </w:r>
          </w:p>
        </w:tc>
        <w:tc>
          <w:tcPr>
            <w:tcW w:w="2044" w:type="dxa"/>
          </w:tcPr>
          <w:p>
            <w:pPr>
              <w:ind w:right="105" w:rightChars="50"/>
              <w:outlineLvl w:val="3"/>
              <w:rPr>
                <w:sz w:val="18"/>
                <w:szCs w:val="18"/>
              </w:rPr>
            </w:pPr>
            <w:r>
              <w:rPr>
                <w:rFonts w:hint="eastAsia"/>
                <w:sz w:val="18"/>
                <w:szCs w:val="18"/>
              </w:rPr>
              <w:t>病原：本尼登虫，鱼常浮于水面，游泳迟钝，呼吸困难，头部皮肤、鳍及鳃上粘液分泌增多，表皮出现溃烂，病鱼食欲不强，有时会狂游网衣上擦身，死亡时鱼胸鳍向前僵直，几乎紧贴于鳃盖上。</w:t>
            </w:r>
          </w:p>
        </w:tc>
        <w:tc>
          <w:tcPr>
            <w:tcW w:w="2169" w:type="dxa"/>
            <w:shd w:val="clear" w:color="auto" w:fill="auto"/>
            <w:vAlign w:val="center"/>
          </w:tcPr>
          <w:p>
            <w:pPr>
              <w:ind w:right="105" w:rightChars="50"/>
              <w:outlineLvl w:val="3"/>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4月～5月</w:t>
            </w:r>
          </w:p>
        </w:tc>
        <w:tc>
          <w:tcPr>
            <w:tcW w:w="2118" w:type="dxa"/>
            <w:shd w:val="clear" w:color="auto" w:fill="auto"/>
            <w:vAlign w:val="center"/>
          </w:tcPr>
          <w:p>
            <w:pPr>
              <w:ind w:left="105" w:leftChars="50"/>
              <w:outlineLvl w:val="3"/>
              <w:rPr>
                <w:rFonts w:ascii="宋体" w:hAnsi="宋体"/>
                <w:color w:val="000000" w:themeColor="text1"/>
                <w:kern w:val="0"/>
                <w:sz w:val="18"/>
                <w:szCs w:val="18"/>
                <w:highlight w:val="yellow"/>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淡水浸泡3 min</w:t>
            </w:r>
            <w:r>
              <w:rPr>
                <w:rFonts w:ascii="宋体" w:hAnsi="宋体"/>
                <w:color w:val="000000" w:themeColor="text1"/>
                <w:kern w:val="0"/>
                <w:sz w:val="18"/>
                <w:szCs w:val="18"/>
                <w14:textFill>
                  <w14:solidFill>
                    <w14:schemeClr w14:val="tx1"/>
                  </w14:solidFill>
                </w14:textFill>
              </w:rPr>
              <w:t>～</w:t>
            </w:r>
            <w:r>
              <w:rPr>
                <w:rFonts w:hint="eastAsia" w:ascii="宋体" w:hAnsi="宋体"/>
                <w:color w:val="000000" w:themeColor="text1"/>
                <w:kern w:val="0"/>
                <w:sz w:val="18"/>
                <w:szCs w:val="18"/>
                <w14:textFill>
                  <w14:solidFill>
                    <w14:schemeClr w14:val="tx1"/>
                  </w14:solidFill>
                </w14:textFill>
              </w:rPr>
              <w:t>10 min，浸泡过程应注意关注鱼苗状态。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tcPr>
          <w:p>
            <w:pPr>
              <w:ind w:right="105" w:rightChars="50"/>
              <w:outlineLvl w:val="3"/>
              <w:rPr>
                <w:rFonts w:ascii="宋体" w:hAnsi="宋体"/>
                <w:color w:val="000000" w:themeColor="text1"/>
                <w:kern w:val="0"/>
                <w:sz w:val="18"/>
                <w:szCs w:val="18"/>
                <w:highlight w:val="yellow"/>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鱼类病毒性神经坏死症</w:t>
            </w:r>
          </w:p>
        </w:tc>
        <w:tc>
          <w:tcPr>
            <w:tcW w:w="2044" w:type="dxa"/>
          </w:tcPr>
          <w:p>
            <w:pPr>
              <w:ind w:right="105" w:rightChars="50"/>
              <w:outlineLvl w:val="3"/>
              <w:rPr>
                <w:rFonts w:ascii="宋体" w:hAnsi="宋体"/>
                <w:color w:val="000000" w:themeColor="text1"/>
                <w:kern w:val="0"/>
                <w:sz w:val="18"/>
                <w:szCs w:val="18"/>
                <w:highlight w:val="yellow"/>
                <w14:textFill>
                  <w14:solidFill>
                    <w14:schemeClr w14:val="tx1"/>
                  </w14:solidFill>
                </w14:textFill>
              </w:rPr>
            </w:pPr>
            <w:r>
              <w:rPr>
                <w:rFonts w:hint="eastAsia"/>
                <w:sz w:val="18"/>
                <w:szCs w:val="18"/>
              </w:rPr>
              <w:t>病鱼体表发黑、厌食、反应迟钝，常做旋转状游动或腹部朝上漂游于水面；解剖病鱼内脏器官未见腹水、颜色变白和溃疡等异常现象。</w:t>
            </w:r>
          </w:p>
        </w:tc>
        <w:tc>
          <w:tcPr>
            <w:tcW w:w="2169" w:type="dxa"/>
            <w:shd w:val="clear" w:color="auto" w:fill="auto"/>
            <w:vAlign w:val="center"/>
          </w:tcPr>
          <w:p>
            <w:pPr>
              <w:ind w:right="105" w:rightChars="50"/>
              <w:outlineLvl w:val="3"/>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鱼苗培育期；</w:t>
            </w:r>
          </w:p>
          <w:p>
            <w:pPr>
              <w:ind w:right="105" w:rightChars="50"/>
              <w:outlineLvl w:val="3"/>
              <w:rPr>
                <w:rFonts w:ascii="宋体" w:hAnsi="宋体"/>
                <w:color w:val="000000" w:themeColor="text1"/>
                <w:kern w:val="0"/>
                <w:sz w:val="18"/>
                <w:szCs w:val="18"/>
                <w:highlight w:val="yellow"/>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3月～4月</w:t>
            </w:r>
          </w:p>
        </w:tc>
        <w:tc>
          <w:tcPr>
            <w:tcW w:w="2118" w:type="dxa"/>
            <w:shd w:val="clear" w:color="auto" w:fill="auto"/>
            <w:vAlign w:val="center"/>
          </w:tcPr>
          <w:p>
            <w:pPr>
              <w:ind w:left="105" w:leftChars="50"/>
              <w:outlineLvl w:val="3"/>
              <w:rPr>
                <w:rFonts w:ascii="宋体" w:hAnsi="宋体"/>
                <w:color w:val="000000" w:themeColor="text1"/>
                <w:kern w:val="0"/>
                <w:sz w:val="18"/>
                <w:szCs w:val="18"/>
                <w:highlight w:val="yellow"/>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该病毒以垂直传播为主，在繁殖季节，采用PCR技术检测亲鱼的生殖腺，同时对产卵前亲鱼血浆进行抗体检测，以去除带病毒的亲鱼；加强饲养管理、做好场内生物安保，定期对环境进行消毒；投喂免疫增强剂，提高鱼体免疫力。</w:t>
            </w:r>
          </w:p>
        </w:tc>
      </w:tr>
      <w:bookmarkEnd w:id="0"/>
    </w:tbl>
    <w:p>
      <w:pPr>
        <w:spacing w:line="360" w:lineRule="auto"/>
        <w:rPr>
          <w:rFonts w:ascii="Times New Roman" w:hAnsi="Times New Roman" w:eastAsia="宋体" w:cs="宋体"/>
          <w:color w:val="000000"/>
          <w:sz w:val="24"/>
        </w:rPr>
      </w:pPr>
    </w:p>
    <w:p>
      <w:pPr>
        <w:pStyle w:val="7"/>
        <w:numPr>
          <w:ilvl w:val="1"/>
          <w:numId w:val="0"/>
        </w:numPr>
        <w:ind w:left="567" w:hanging="567"/>
        <w:rPr>
          <w:rStyle w:val="12"/>
          <w:rFonts w:ascii="黑体" w:hAnsi="黑体" w:cs="黑体"/>
          <w:b w:val="0"/>
          <w:bCs w:val="0"/>
        </w:rPr>
      </w:pPr>
      <w:r>
        <w:rPr>
          <w:rStyle w:val="12"/>
          <w:rFonts w:hint="eastAsia" w:ascii="黑体" w:hAnsi="黑体" w:cs="黑体"/>
          <w:b w:val="0"/>
          <w:bCs w:val="0"/>
        </w:rPr>
        <w:t>3.6 档案记录</w:t>
      </w:r>
    </w:p>
    <w:p>
      <w:pPr>
        <w:spacing w:line="360" w:lineRule="auto"/>
        <w:rPr>
          <w:rFonts w:ascii="Times New Roman" w:hAnsi="Times New Roman" w:eastAsia="宋体" w:cs="宋体"/>
          <w:color w:val="000000"/>
          <w:sz w:val="24"/>
        </w:rPr>
      </w:pPr>
      <w:r>
        <w:rPr>
          <w:rFonts w:ascii="Times New Roman" w:hAnsi="Times New Roman" w:eastAsia="宋体" w:cs="宋体"/>
          <w:color w:val="000000"/>
          <w:sz w:val="24"/>
        </w:rPr>
        <w:t>培育记录</w:t>
      </w:r>
    </w:p>
    <w:p>
      <w:pPr>
        <w:spacing w:line="360" w:lineRule="auto"/>
        <w:rPr>
          <w:rFonts w:ascii="Times New Roman" w:hAnsi="Times New Roman" w:eastAsia="宋体" w:cs="宋体"/>
          <w:color w:val="000000"/>
          <w:sz w:val="24"/>
        </w:rPr>
      </w:pPr>
      <w:r>
        <w:rPr>
          <w:rFonts w:ascii="Times New Roman" w:hAnsi="Times New Roman" w:eastAsia="宋体" w:cs="宋体"/>
          <w:color w:val="000000"/>
          <w:sz w:val="24"/>
        </w:rPr>
        <w:t>各个阶段的鱼苗培育应做好记录，记录内容包括但不限于：</w:t>
      </w:r>
    </w:p>
    <w:p>
      <w:pPr>
        <w:spacing w:line="360" w:lineRule="auto"/>
        <w:rPr>
          <w:rFonts w:ascii="Times New Roman" w:hAnsi="Times New Roman" w:eastAsia="宋体" w:cs="宋体"/>
          <w:color w:val="000000"/>
          <w:sz w:val="24"/>
        </w:rPr>
      </w:pPr>
      <w:r>
        <w:rPr>
          <w:rFonts w:ascii="Times New Roman" w:hAnsi="Times New Roman" w:eastAsia="宋体" w:cs="宋体"/>
          <w:color w:val="000000"/>
          <w:sz w:val="24"/>
        </w:rPr>
        <w:t>a) 饲料投喂情况；需要详细说明每次投喂饲料的种类、品牌、规格</w:t>
      </w:r>
      <w:r>
        <w:rPr>
          <w:rFonts w:hint="eastAsia" w:ascii="Times New Roman" w:hAnsi="Times New Roman" w:eastAsia="宋体" w:cs="宋体"/>
          <w:color w:val="000000"/>
          <w:sz w:val="24"/>
        </w:rPr>
        <w:t>、</w:t>
      </w:r>
      <w:r>
        <w:rPr>
          <w:rFonts w:ascii="Times New Roman" w:hAnsi="Times New Roman" w:eastAsia="宋体" w:cs="宋体"/>
          <w:color w:val="000000"/>
          <w:sz w:val="24"/>
        </w:rPr>
        <w:t>投喂量</w:t>
      </w:r>
      <w:r>
        <w:rPr>
          <w:rFonts w:hint="eastAsia" w:ascii="Times New Roman" w:hAnsi="Times New Roman" w:eastAsia="宋体" w:cs="宋体"/>
          <w:color w:val="000000"/>
          <w:sz w:val="24"/>
        </w:rPr>
        <w:t>、投喂的时间和频率，并且详尽描写鱼类摄食情况。</w:t>
      </w:r>
    </w:p>
    <w:p>
      <w:pPr>
        <w:spacing w:line="360" w:lineRule="auto"/>
        <w:rPr>
          <w:rFonts w:ascii="Times New Roman" w:hAnsi="Times New Roman" w:eastAsia="宋体" w:cs="宋体"/>
          <w:color w:val="000000"/>
          <w:sz w:val="24"/>
        </w:rPr>
      </w:pPr>
      <w:r>
        <w:rPr>
          <w:rFonts w:ascii="Times New Roman" w:hAnsi="Times New Roman" w:eastAsia="宋体" w:cs="宋体"/>
          <w:color w:val="000000"/>
          <w:sz w:val="24"/>
        </w:rPr>
        <w:t>b) 药物使用情况；包括药物的名称、成分、用途、使用剂量和使用时间。使用剂量的记录必须严格按照药物说明书和相关养殖标准执行，避免因药物过量或不足而对鱼苗造成不良影响。</w:t>
      </w:r>
    </w:p>
    <w:p>
      <w:pPr>
        <w:spacing w:line="360" w:lineRule="auto"/>
        <w:rPr>
          <w:rFonts w:ascii="Times New Roman" w:hAnsi="Times New Roman" w:eastAsia="宋体" w:cs="宋体"/>
          <w:color w:val="000000"/>
          <w:sz w:val="24"/>
        </w:rPr>
      </w:pPr>
      <w:r>
        <w:rPr>
          <w:rFonts w:ascii="Times New Roman" w:hAnsi="Times New Roman" w:eastAsia="宋体" w:cs="宋体"/>
          <w:color w:val="000000"/>
          <w:sz w:val="24"/>
        </w:rPr>
        <w:t>c) 鱼苗健康情况；记录鱼苗的健康状况需要观察鱼苗的体表、行为、摄食情况等多方面指标。体表观察包括检查鱼苗是否有伤痕、溃烂、寄生虫附着等情况。行为观察则关注鱼苗的游动是否活泼、是否出现异常聚集或静止不动等现象，正常健康的鱼苗通常游动活泼且具有一定的规律性。摄食情况的记录可以通过观察鱼苗对饲料的摄取速度和摄食量来判断，如果鱼苗摄食欲望下降或摄食量减少，可能是鱼苗健康出现问题的征兆。定期对鱼苗进行抽样检查，通过显微镜观察鱼苗的鳃部、肠道等内部组织器官的健康状况，及时发现潜在的问题</w:t>
      </w:r>
      <w:r>
        <w:rPr>
          <w:rFonts w:hint="eastAsia" w:ascii="Times New Roman" w:hAnsi="Times New Roman" w:eastAsia="宋体" w:cs="宋体"/>
          <w:color w:val="000000"/>
          <w:sz w:val="24"/>
        </w:rPr>
        <w:t>。</w:t>
      </w:r>
    </w:p>
    <w:p>
      <w:pPr>
        <w:spacing w:line="360" w:lineRule="auto"/>
        <w:rPr>
          <w:rFonts w:ascii="Times New Roman" w:hAnsi="Times New Roman" w:eastAsia="宋体" w:cs="宋体"/>
          <w:color w:val="000000"/>
          <w:sz w:val="24"/>
        </w:rPr>
      </w:pPr>
      <w:r>
        <w:rPr>
          <w:rFonts w:ascii="Times New Roman" w:hAnsi="Times New Roman" w:eastAsia="宋体" w:cs="宋体"/>
          <w:color w:val="000000"/>
          <w:sz w:val="24"/>
        </w:rPr>
        <w:t>d) 养殖用水指标；养殖用水指标的记录是确保鱼苗生长环境适宜的关键。需要记录的指标包括水温、pH值、溶解氧、氨氮、亚硝酸盐等。</w:t>
      </w:r>
    </w:p>
    <w:p>
      <w:pPr>
        <w:spacing w:line="360" w:lineRule="auto"/>
        <w:rPr>
          <w:rFonts w:ascii="Times New Roman" w:hAnsi="Times New Roman" w:eastAsia="宋体" w:cs="宋体"/>
          <w:color w:val="000000"/>
          <w:sz w:val="24"/>
        </w:rPr>
      </w:pPr>
      <w:r>
        <w:rPr>
          <w:rFonts w:ascii="Times New Roman" w:hAnsi="Times New Roman" w:eastAsia="宋体" w:cs="宋体"/>
          <w:color w:val="000000"/>
          <w:sz w:val="24"/>
        </w:rPr>
        <w:t>e) 天气情况；</w:t>
      </w:r>
      <w:r>
        <w:rPr>
          <w:rFonts w:hint="eastAsia" w:ascii="Times New Roman" w:hAnsi="Times New Roman" w:eastAsia="宋体" w:cs="宋体"/>
          <w:color w:val="000000"/>
          <w:sz w:val="24"/>
        </w:rPr>
        <w:t>记录当天的天气情况，综合水质指标对当天投喂方案做出调整。</w:t>
      </w:r>
    </w:p>
    <w:p>
      <w:pPr>
        <w:spacing w:line="360" w:lineRule="auto"/>
        <w:rPr>
          <w:rFonts w:ascii="Times New Roman" w:hAnsi="Times New Roman" w:eastAsia="宋体" w:cs="宋体"/>
          <w:color w:val="000000"/>
          <w:sz w:val="24"/>
        </w:rPr>
      </w:pPr>
      <w:r>
        <w:rPr>
          <w:rFonts w:ascii="Times New Roman" w:hAnsi="Times New Roman" w:eastAsia="宋体" w:cs="宋体"/>
          <w:color w:val="000000"/>
          <w:sz w:val="24"/>
        </w:rPr>
        <w:t>f) 海区水温；</w:t>
      </w:r>
    </w:p>
    <w:p>
      <w:pPr>
        <w:spacing w:line="360" w:lineRule="auto"/>
        <w:rPr>
          <w:rFonts w:ascii="Times New Roman" w:hAnsi="Times New Roman" w:eastAsia="宋体" w:cs="宋体"/>
          <w:color w:val="000000"/>
          <w:sz w:val="24"/>
        </w:rPr>
      </w:pPr>
      <w:r>
        <w:rPr>
          <w:rFonts w:ascii="Times New Roman" w:hAnsi="Times New Roman" w:eastAsia="宋体" w:cs="宋体"/>
          <w:color w:val="000000"/>
          <w:sz w:val="24"/>
        </w:rPr>
        <w:t>g) 风浪情况</w:t>
      </w:r>
      <w:r>
        <w:rPr>
          <w:rFonts w:hint="eastAsia" w:ascii="Times New Roman" w:hAnsi="Times New Roman" w:eastAsia="宋体" w:cs="宋体"/>
          <w:color w:val="000000"/>
          <w:sz w:val="24"/>
        </w:rPr>
        <w:t>：</w:t>
      </w:r>
      <w:r>
        <w:rPr>
          <w:rFonts w:ascii="Times New Roman" w:hAnsi="Times New Roman" w:eastAsia="宋体" w:cs="宋体"/>
          <w:color w:val="000000"/>
          <w:sz w:val="24"/>
        </w:rPr>
        <w:t>风浪情况的记录主要针对</w:t>
      </w:r>
      <w:r>
        <w:rPr>
          <w:rFonts w:hint="eastAsia" w:ascii="Times New Roman" w:hAnsi="Times New Roman" w:eastAsia="宋体" w:cs="宋体"/>
          <w:color w:val="000000"/>
          <w:sz w:val="24"/>
        </w:rPr>
        <w:t>近岸及远海</w:t>
      </w:r>
      <w:r>
        <w:rPr>
          <w:rFonts w:ascii="Times New Roman" w:hAnsi="Times New Roman" w:eastAsia="宋体" w:cs="宋体"/>
          <w:color w:val="000000"/>
          <w:sz w:val="24"/>
        </w:rPr>
        <w:t>的养殖区域。风浪的大小和频率会影响养殖设施的稳定性、水体的流动和溶解氧的分布。强烈的风浪可能会导致养殖网箱或受损，从而影响鱼苗的安全和养殖水体的水质。此外，风浪还会使水体上下层交换加剧，可能导致水温、盐度等水质指标的快速变化，对鱼苗的生长环境造成冲击。因此，记录风浪的等级、持续时间和影响范围等信息，有助于及时采取防护措施，如加固养殖设施、调整养殖密度或设置防浪屏障等，以减少风浪对鱼苗培育的不利影响。</w:t>
      </w:r>
    </w:p>
    <w:p>
      <w:pPr>
        <w:spacing w:line="360" w:lineRule="auto"/>
        <w:rPr>
          <w:rFonts w:ascii="Times New Roman" w:hAnsi="Times New Roman" w:eastAsia="宋体" w:cs="宋体"/>
          <w:color w:val="000000"/>
          <w:sz w:val="24"/>
        </w:rPr>
      </w:pPr>
      <w:r>
        <w:rPr>
          <w:rFonts w:ascii="Times New Roman" w:hAnsi="Times New Roman" w:eastAsia="宋体" w:cs="宋体"/>
          <w:color w:val="000000"/>
          <w:sz w:val="24"/>
        </w:rPr>
        <w:t>在转运不同规格鱼种时应做好记录，记录内容包括但不限于：</w:t>
      </w:r>
    </w:p>
    <w:p>
      <w:pPr>
        <w:spacing w:line="360" w:lineRule="auto"/>
        <w:rPr>
          <w:rFonts w:ascii="Times New Roman" w:hAnsi="Times New Roman" w:eastAsia="宋体" w:cs="宋体"/>
          <w:color w:val="000000"/>
          <w:sz w:val="24"/>
        </w:rPr>
      </w:pPr>
      <w:r>
        <w:rPr>
          <w:rFonts w:ascii="Times New Roman" w:hAnsi="Times New Roman" w:eastAsia="宋体" w:cs="宋体"/>
          <w:color w:val="000000"/>
          <w:sz w:val="24"/>
        </w:rPr>
        <w:t>a)鱼种数量、规格及来源</w:t>
      </w:r>
      <w:r>
        <w:rPr>
          <w:rFonts w:hint="eastAsia" w:ascii="Times New Roman" w:hAnsi="Times New Roman" w:eastAsia="宋体" w:cs="宋体"/>
          <w:color w:val="000000"/>
          <w:sz w:val="24"/>
        </w:rPr>
        <w:t>：准确记录鱼种的数量、规格和来源，鱼种数量的记录应采用科学的计数方法，确保数量记录的准确性。规格记录包括鱼种的体长、体重等指标，可以采用抽样测量的方法，随机抽取一定数量的鱼种进行测量，计算平均值和标准差等统计指标，以反映鱼种群体的规格分布情况。鱼种来源的记录应详细注明鱼种的产地、养殖场名称或供应商信息，以及鱼种的亲本来源和培育过程等相关背景资料。这对于追溯鱼种的质量和健康状况、评估鱼种的遗传品质以及应对可能出现的疾病传播等问题都具有重要意义。</w:t>
      </w:r>
    </w:p>
    <w:p>
      <w:pPr>
        <w:spacing w:line="360" w:lineRule="auto"/>
        <w:rPr>
          <w:rFonts w:ascii="Times New Roman" w:hAnsi="Times New Roman" w:eastAsia="宋体" w:cs="宋体"/>
          <w:color w:val="000000"/>
          <w:sz w:val="24"/>
        </w:rPr>
      </w:pPr>
      <w:r>
        <w:rPr>
          <w:rFonts w:ascii="Times New Roman" w:hAnsi="Times New Roman" w:eastAsia="宋体" w:cs="宋体"/>
          <w:color w:val="000000"/>
          <w:sz w:val="24"/>
        </w:rPr>
        <w:t>b)鱼种质量情况；鱼种质量的记录需要从鱼种的体质、活力、健康状况等多个方面进行评估。体质观察包括检查鱼种的体型是否匀称、体表是否完整、是否有畸形等情况。活力评估可以通过观察鱼种在水体中的游动状态、反应速度等指标来进行，正常的鱼种应该游动灵活、反应敏捷。健康状况的记录则需要结合药物使用记录和鱼苗健康记录，检查鱼种是否携带病原体、是否存在潜在的疾病症状等。此外，还可以通过抽样检测的方式，对鱼种的生理指标（如血液指标、肌肉指标等）进行分析，以更全面地了解鱼种的质量状况。对于不符合质量要求的鱼种，应及时进行筛选和处理，避免其对整个养殖群体造成不良影响。</w:t>
      </w:r>
    </w:p>
    <w:p>
      <w:pPr>
        <w:spacing w:line="360" w:lineRule="auto"/>
        <w:rPr>
          <w:rFonts w:ascii="Times New Roman" w:hAnsi="Times New Roman" w:eastAsia="宋体" w:cs="宋体"/>
          <w:color w:val="000000"/>
          <w:sz w:val="24"/>
        </w:rPr>
      </w:pPr>
      <w:r>
        <w:rPr>
          <w:rFonts w:ascii="Times New Roman" w:hAnsi="Times New Roman" w:eastAsia="宋体" w:cs="宋体"/>
          <w:color w:val="000000"/>
          <w:sz w:val="24"/>
        </w:rPr>
        <w:t>c)运输用水指标；需要记录的运输用水指标包括水温、水质类型（淡水、海水或人工配制的特定盐度水）、溶解氧、氨氮、亚硝酸盐等。</w:t>
      </w:r>
    </w:p>
    <w:p>
      <w:pPr>
        <w:spacing w:line="360" w:lineRule="auto"/>
        <w:rPr>
          <w:rFonts w:ascii="Times New Roman" w:hAnsi="Times New Roman" w:eastAsia="宋体" w:cs="宋体"/>
          <w:color w:val="000000"/>
          <w:sz w:val="24"/>
        </w:rPr>
      </w:pPr>
      <w:r>
        <w:rPr>
          <w:rFonts w:ascii="Times New Roman" w:hAnsi="Times New Roman" w:eastAsia="宋体" w:cs="宋体"/>
          <w:color w:val="000000"/>
          <w:sz w:val="24"/>
        </w:rPr>
        <w:t>d)操作人员熟练程度；</w:t>
      </w:r>
    </w:p>
    <w:p>
      <w:pPr>
        <w:spacing w:line="360" w:lineRule="auto"/>
        <w:rPr>
          <w:rFonts w:ascii="Times New Roman" w:hAnsi="Times New Roman" w:eastAsia="宋体" w:cs="宋体"/>
          <w:color w:val="000000"/>
          <w:sz w:val="24"/>
        </w:rPr>
      </w:pPr>
      <w:r>
        <w:rPr>
          <w:rFonts w:ascii="Times New Roman" w:hAnsi="Times New Roman" w:eastAsia="宋体" w:cs="宋体"/>
          <w:color w:val="000000"/>
          <w:sz w:val="24"/>
        </w:rPr>
        <w:t>档案管理</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建立完整的档案管理制度，各种记录分类装订、归档，记录的保存期限不少于二年。</w:t>
      </w:r>
    </w:p>
    <w:p>
      <w:pPr>
        <w:pStyle w:val="2"/>
      </w:pPr>
      <w:r>
        <w:t>三、试验验证的分析、综述报告，技术经济论证和预期的经济效益、社会效益和生态效益</w:t>
      </w:r>
    </w:p>
    <w:p>
      <w:pPr>
        <w:pStyle w:val="7"/>
        <w:ind w:left="425" w:hanging="425"/>
        <w:rPr>
          <w:rStyle w:val="12"/>
          <w:rFonts w:ascii="黑体" w:hAnsi="黑体" w:cs="黑体"/>
          <w:b w:val="0"/>
          <w:bCs w:val="0"/>
        </w:rPr>
      </w:pPr>
      <w:r>
        <w:rPr>
          <w:rFonts w:ascii="黑体" w:hAnsi="黑体" w:cs="黑体"/>
          <w:b w:val="0"/>
          <w:bCs w:val="0"/>
        </w:rPr>
        <w:t>1.</w:t>
      </w:r>
      <w:r>
        <w:rPr>
          <w:rStyle w:val="12"/>
          <w:rFonts w:ascii="黑体" w:hAnsi="黑体" w:cs="黑体"/>
          <w:b w:val="0"/>
          <w:bCs w:val="0"/>
        </w:rPr>
        <w:t>试验验证的分析、综述报告</w:t>
      </w:r>
    </w:p>
    <w:p>
      <w:pPr>
        <w:spacing w:line="360" w:lineRule="auto"/>
        <w:rPr>
          <w:rFonts w:ascii="Times New Roman" w:hAnsi="Times New Roman" w:eastAsia="宋体" w:cs="宋体"/>
          <w:color w:val="000000"/>
          <w:sz w:val="24"/>
        </w:rPr>
      </w:pPr>
      <w:r>
        <w:rPr>
          <w:rFonts w:ascii="Times New Roman" w:hAnsi="Times New Roman" w:eastAsia="宋体" w:cs="宋体"/>
          <w:color w:val="000000"/>
          <w:sz w:val="24"/>
        </w:rPr>
        <w:t>1.</w:t>
      </w:r>
      <w:r>
        <w:rPr>
          <w:rFonts w:hint="eastAsia" w:ascii="Times New Roman" w:hAnsi="Times New Roman" w:eastAsia="宋体" w:cs="宋体"/>
          <w:color w:val="000000"/>
          <w:sz w:val="24"/>
        </w:rPr>
        <w:t>1</w:t>
      </w:r>
      <w:r>
        <w:rPr>
          <w:rFonts w:ascii="Times New Roman" w:hAnsi="Times New Roman" w:eastAsia="宋体" w:cs="宋体"/>
          <w:color w:val="000000"/>
          <w:sz w:val="24"/>
        </w:rPr>
        <w:t>试验验证的分析</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在标准草案编制过程中，项目组在总结提炼近年来卵形鲳鲹</w:t>
      </w:r>
      <w:r>
        <w:rPr>
          <w:rFonts w:hint="eastAsia" w:ascii="Times New Roman" w:hAnsi="Times New Roman" w:eastAsia="宋体" w:cs="宋体"/>
          <w:color w:val="000000"/>
          <w:sz w:val="24"/>
        </w:rPr>
        <w:t>鱼种培育</w:t>
      </w:r>
      <w:r>
        <w:rPr>
          <w:rFonts w:ascii="Times New Roman" w:hAnsi="Times New Roman" w:eastAsia="宋体" w:cs="宋体"/>
          <w:color w:val="000000"/>
          <w:sz w:val="24"/>
        </w:rPr>
        <w:t>关键技术的基础上，重点对</w:t>
      </w:r>
      <w:r>
        <w:rPr>
          <w:rFonts w:hint="eastAsia" w:ascii="Times New Roman" w:hAnsi="Times New Roman" w:eastAsia="宋体" w:cs="宋体"/>
          <w:color w:val="000000"/>
          <w:sz w:val="24"/>
        </w:rPr>
        <w:t>鱼苗标粗</w:t>
      </w:r>
      <w:r>
        <w:rPr>
          <w:rFonts w:ascii="Times New Roman" w:hAnsi="Times New Roman" w:eastAsia="宋体" w:cs="宋体"/>
          <w:color w:val="000000"/>
          <w:sz w:val="24"/>
        </w:rPr>
        <w:t>方式</w:t>
      </w:r>
      <w:r>
        <w:rPr>
          <w:rFonts w:hint="eastAsia" w:ascii="Times New Roman" w:hAnsi="Times New Roman" w:eastAsia="宋体" w:cs="宋体"/>
          <w:color w:val="000000"/>
          <w:sz w:val="24"/>
        </w:rPr>
        <w:t>、标粗密度</w:t>
      </w:r>
      <w:r>
        <w:rPr>
          <w:rFonts w:ascii="Times New Roman" w:hAnsi="Times New Roman" w:eastAsia="宋体" w:cs="宋体"/>
          <w:color w:val="000000"/>
          <w:sz w:val="24"/>
        </w:rPr>
        <w:t>等关键技术指标进行了试验验证，并征求了相关苗种生产企业技术人员的意见后，最终对这些关键指标进行了确定。卵形鲳鲹</w:t>
      </w:r>
      <w:r>
        <w:rPr>
          <w:rFonts w:hint="eastAsia" w:ascii="Times New Roman" w:hAnsi="Times New Roman" w:eastAsia="宋体" w:cs="宋体"/>
          <w:color w:val="000000"/>
          <w:sz w:val="24"/>
        </w:rPr>
        <w:t>大规格鱼种培育</w:t>
      </w:r>
      <w:r>
        <w:rPr>
          <w:rFonts w:ascii="Times New Roman" w:hAnsi="Times New Roman" w:eastAsia="宋体" w:cs="宋体"/>
          <w:color w:val="000000"/>
          <w:sz w:val="24"/>
        </w:rPr>
        <w:t>技术在多家苗种生产企业得到了很好的推广和应用。</w:t>
      </w:r>
    </w:p>
    <w:p>
      <w:pPr>
        <w:spacing w:line="360" w:lineRule="auto"/>
        <w:ind w:firstLine="480" w:firstLineChars="200"/>
        <w:rPr>
          <w:rFonts w:ascii="Times New Roman" w:hAnsi="Times New Roman" w:eastAsia="宋体" w:cs="宋体"/>
          <w:color w:val="000000"/>
          <w:sz w:val="24"/>
        </w:rPr>
      </w:pPr>
      <w:r>
        <w:rPr>
          <w:rFonts w:hint="eastAsia" w:ascii="Times New Roman" w:hAnsi="Times New Roman" w:eastAsia="宋体" w:cs="宋体"/>
          <w:color w:val="000000"/>
          <w:sz w:val="24"/>
        </w:rPr>
        <w:t>卵形鲳鲹主要有三种鱼种培育方式：陆基培育、近岸鱼排与近岸网箱培育。陆基育苗场培育的鱼种，缺乏养殖海区适应性中间培育过程，直接在深海网箱成鱼养殖，导致培育存活率低；近岸鱼排与网箱培育的鱼种，由于近浅海区域富营养化，养殖病害频发，导致培育鱼种质量不稳定、存活率低，培育方式已不适用于现有大规模生产需求。</w:t>
      </w:r>
    </w:p>
    <w:p>
      <w:pPr>
        <w:spacing w:line="360" w:lineRule="auto"/>
        <w:ind w:firstLine="480" w:firstLineChars="200"/>
        <w:rPr>
          <w:rFonts w:ascii="Times New Roman" w:hAnsi="Times New Roman" w:eastAsia="宋体" w:cs="宋体"/>
          <w:color w:val="000000"/>
          <w:sz w:val="24"/>
        </w:rPr>
      </w:pPr>
      <w:r>
        <w:rPr>
          <w:rFonts w:hint="eastAsia" w:ascii="Times New Roman" w:hAnsi="Times New Roman" w:eastAsia="宋体" w:cs="宋体"/>
          <w:color w:val="000000"/>
          <w:sz w:val="24"/>
        </w:rPr>
        <w:t>目前本团队通过研究和生产实践，在原有的鱼种培育生产技术上进一步优化形成深远海陆海接力大规格鱼种培育方法：在陆基池塘将小规格鱼苗（0.4 g/尾～0.6 g/尾），标粗至中规格鱼种（8.0 g/尾～10.0 g/尾），后转运至深远海网箱标粗至大规格鱼种（50.0 g/尾～125.0 g/尾），再分疏至附近网箱养成。</w:t>
      </w:r>
    </w:p>
    <w:p>
      <w:pPr>
        <w:spacing w:line="360" w:lineRule="auto"/>
        <w:ind w:firstLine="480" w:firstLineChars="200"/>
        <w:rPr>
          <w:rFonts w:ascii="Times New Roman" w:hAnsi="Times New Roman" w:eastAsia="宋体" w:cs="宋体"/>
          <w:color w:val="000000"/>
          <w:sz w:val="24"/>
        </w:rPr>
      </w:pPr>
      <w:r>
        <w:rPr>
          <w:rFonts w:hint="eastAsia" w:ascii="Times New Roman" w:hAnsi="Times New Roman" w:eastAsia="宋体" w:cs="宋体"/>
          <w:color w:val="000000"/>
          <w:sz w:val="24"/>
        </w:rPr>
        <w:t>标粗密度分为池塘放养密度与海上网箱放养密度两部分，池塘放养密度为 180000 ind/ha～300000 ind/ha，此种密度下标粗后鱼苗成活率能达到90%；海上网箱放养密度为40 ind/m</w:t>
      </w:r>
      <w:r>
        <w:rPr>
          <w:rFonts w:hint="eastAsia" w:ascii="Times New Roman" w:hAnsi="Times New Roman" w:eastAsia="宋体" w:cs="宋体"/>
          <w:color w:val="000000"/>
          <w:sz w:val="24"/>
          <w:vertAlign w:val="superscript"/>
        </w:rPr>
        <w:t>3</w:t>
      </w:r>
      <w:r>
        <w:rPr>
          <w:rFonts w:hint="eastAsia" w:ascii="Times New Roman" w:hAnsi="Times New Roman" w:eastAsia="宋体" w:cs="宋体"/>
          <w:color w:val="000000"/>
          <w:sz w:val="24"/>
        </w:rPr>
        <w:t>～60 ind/m</w:t>
      </w:r>
      <w:r>
        <w:rPr>
          <w:rFonts w:hint="eastAsia" w:ascii="Times New Roman" w:hAnsi="Times New Roman" w:eastAsia="宋体" w:cs="宋体"/>
          <w:color w:val="000000"/>
          <w:sz w:val="24"/>
          <w:vertAlign w:val="superscript"/>
        </w:rPr>
        <w:t>3</w:t>
      </w:r>
      <w:r>
        <w:rPr>
          <w:rFonts w:hint="eastAsia" w:ascii="Times New Roman" w:hAnsi="Times New Roman" w:eastAsia="宋体" w:cs="宋体"/>
          <w:color w:val="000000"/>
          <w:sz w:val="24"/>
        </w:rPr>
        <w:t>，二段标粗后成活率能到到95%以上。</w:t>
      </w:r>
    </w:p>
    <w:p>
      <w:pPr>
        <w:spacing w:line="360" w:lineRule="auto"/>
        <w:ind w:firstLine="480" w:firstLineChars="200"/>
        <w:rPr>
          <w:rFonts w:ascii="Times New Roman" w:hAnsi="Times New Roman" w:eastAsia="宋体" w:cs="宋体"/>
          <w:color w:val="000000"/>
          <w:sz w:val="24"/>
        </w:rPr>
      </w:pPr>
      <w:r>
        <w:rPr>
          <w:rFonts w:hint="eastAsia" w:ascii="Times New Roman" w:hAnsi="Times New Roman" w:eastAsia="宋体" w:cs="宋体"/>
          <w:color w:val="000000"/>
          <w:sz w:val="24"/>
        </w:rPr>
        <w:t>苗种运输：中规格鱼苗采用活水车运输，活水车运输鱼苗前应将水温控制在23-24℃之间，配备纯氧加空气氧，运输密度应控制在6250-8750 ind/m</w:t>
      </w:r>
      <w:r>
        <w:rPr>
          <w:rFonts w:hint="eastAsia" w:ascii="Times New Roman" w:hAnsi="Times New Roman" w:eastAsia="宋体" w:cs="宋体"/>
          <w:color w:val="000000"/>
          <w:sz w:val="24"/>
          <w:vertAlign w:val="superscript"/>
        </w:rPr>
        <w:t>3</w:t>
      </w:r>
      <w:r>
        <w:rPr>
          <w:rFonts w:hint="eastAsia" w:ascii="Times New Roman" w:hAnsi="Times New Roman" w:eastAsia="宋体" w:cs="宋体"/>
          <w:color w:val="000000"/>
          <w:sz w:val="24"/>
        </w:rPr>
        <w:t>；大规格苗种转运采用活水船，活水船在100m</w:t>
      </w:r>
      <w:r>
        <w:rPr>
          <w:rFonts w:hint="eastAsia" w:ascii="Times New Roman" w:hAnsi="Times New Roman" w:eastAsia="宋体" w:cs="宋体"/>
          <w:color w:val="000000"/>
          <w:sz w:val="24"/>
          <w:vertAlign w:val="superscript"/>
        </w:rPr>
        <w:t>3</w:t>
      </w:r>
      <w:r>
        <w:rPr>
          <w:rFonts w:hint="eastAsia" w:ascii="Times New Roman" w:hAnsi="Times New Roman" w:eastAsia="宋体" w:cs="宋体"/>
          <w:color w:val="000000"/>
          <w:sz w:val="24"/>
        </w:rPr>
        <w:t>水体情况下可运输12万尾大规格苗种，运输密度为120 ind/m</w:t>
      </w:r>
      <w:r>
        <w:rPr>
          <w:rFonts w:hint="eastAsia" w:ascii="Times New Roman" w:hAnsi="Times New Roman" w:eastAsia="宋体" w:cs="宋体"/>
          <w:color w:val="000000"/>
          <w:sz w:val="24"/>
          <w:vertAlign w:val="superscript"/>
        </w:rPr>
        <w:t>3</w:t>
      </w:r>
      <w:r>
        <w:rPr>
          <w:rFonts w:hint="eastAsia" w:ascii="Times New Roman" w:hAnsi="Times New Roman" w:eastAsia="宋体" w:cs="宋体"/>
          <w:color w:val="000000"/>
          <w:sz w:val="24"/>
        </w:rPr>
        <w:t>～140 ind/m</w:t>
      </w:r>
      <w:r>
        <w:rPr>
          <w:rFonts w:hint="eastAsia" w:ascii="Times New Roman" w:hAnsi="Times New Roman" w:eastAsia="宋体" w:cs="宋体"/>
          <w:color w:val="000000"/>
          <w:sz w:val="24"/>
          <w:vertAlign w:val="superscript"/>
        </w:rPr>
        <w:t>3</w:t>
      </w:r>
      <w:r>
        <w:rPr>
          <w:rFonts w:hint="eastAsia" w:ascii="Times New Roman" w:hAnsi="Times New Roman" w:eastAsia="宋体" w:cs="宋体"/>
          <w:color w:val="000000"/>
          <w:sz w:val="24"/>
        </w:rPr>
        <w:t>。</w:t>
      </w:r>
    </w:p>
    <w:p>
      <w:pPr>
        <w:spacing w:line="360" w:lineRule="auto"/>
        <w:ind w:firstLine="480" w:firstLineChars="200"/>
        <w:rPr>
          <w:rFonts w:ascii="Times New Roman" w:hAnsi="Times New Roman" w:eastAsia="宋体" w:cs="宋体"/>
          <w:color w:val="000000"/>
          <w:sz w:val="24"/>
        </w:rPr>
      </w:pPr>
      <w:r>
        <w:rPr>
          <w:rFonts w:hint="eastAsia" w:ascii="Times New Roman" w:hAnsi="Times New Roman" w:eastAsia="宋体" w:cs="宋体"/>
          <w:color w:val="000000"/>
          <w:sz w:val="24"/>
        </w:rPr>
        <w:t>技术推广和应用：近年来，该项卵形鲳鲹陆海接力大规格鱼种培育技术在广东恒兴集团有限公司、南部海岸种苗繁育有限公司、湛江经纬实业公司得到了很好的推广和应用，其所生产的卵形鲳鲹大规格鱼种数量和质量均得到了较大提升，效益显著。其中广东恒兴集团有限公司在2023年至2025年间共标粗大规格鱼种数量约4671万尾，成活率在85-90%之间，产值近5000万元。</w:t>
      </w:r>
    </w:p>
    <w:p>
      <w:pPr>
        <w:spacing w:line="360" w:lineRule="auto"/>
        <w:rPr>
          <w:rFonts w:ascii="Times New Roman" w:hAnsi="Times New Roman" w:eastAsia="宋体" w:cs="宋体"/>
          <w:color w:val="000000"/>
          <w:sz w:val="24"/>
        </w:rPr>
      </w:pPr>
      <w:r>
        <w:rPr>
          <w:rFonts w:ascii="Times New Roman" w:hAnsi="Times New Roman" w:eastAsia="宋体" w:cs="宋体"/>
          <w:color w:val="000000"/>
          <w:sz w:val="24"/>
        </w:rPr>
        <w:t>1.2综述报告</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项目申报期间，成立标准草案项目组，按照各自优势明确各成员的任务分工，收集和查阅了大量卵形鲳鲹相关的文献和书籍；对已有研究成果进行了归纳总结，运用项目组多年来从事卵形鲳鲹</w:t>
      </w:r>
      <w:r>
        <w:rPr>
          <w:rFonts w:hint="eastAsia" w:ascii="Times New Roman" w:hAnsi="Times New Roman" w:eastAsia="宋体" w:cs="宋体"/>
          <w:color w:val="000000"/>
          <w:sz w:val="24"/>
        </w:rPr>
        <w:t>苗种标粗技术</w:t>
      </w:r>
      <w:r>
        <w:rPr>
          <w:rFonts w:ascii="Times New Roman" w:hAnsi="Times New Roman" w:eastAsia="宋体" w:cs="宋体"/>
          <w:color w:val="000000"/>
          <w:sz w:val="24"/>
        </w:rPr>
        <w:t>的经验和数据，确立了本标准的技术内容，咨询并综合相关科研人员、管理人员及企业技术负责人等的意见，形成了《卵形鲳鲹</w:t>
      </w:r>
      <w:r>
        <w:rPr>
          <w:rFonts w:hint="eastAsia" w:ascii="Times New Roman" w:hAnsi="Times New Roman" w:eastAsia="宋体" w:cs="宋体"/>
          <w:color w:val="000000"/>
          <w:sz w:val="24"/>
        </w:rPr>
        <w:t>深远海陆海接力大规格鱼种培育</w:t>
      </w:r>
      <w:r>
        <w:rPr>
          <w:rFonts w:ascii="Times New Roman" w:hAnsi="Times New Roman" w:eastAsia="宋体" w:cs="宋体"/>
          <w:color w:val="000000"/>
          <w:sz w:val="24"/>
        </w:rPr>
        <w:t>技术规范》标准草案，具有较好的代表性。</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标准任务下达后，项目组进行任务分工，制定工作计划，对存在争议的内容进行了深入的研究分析和实验验证，充分考虑了不同地区的技术特点和差异，并对主要技术指标进行了测量和统计分析，确保相关技术指标的可靠性；经多次研讨形成了标准征求意见稿和编制说明。</w:t>
      </w:r>
    </w:p>
    <w:p>
      <w:pPr>
        <w:pStyle w:val="7"/>
        <w:ind w:left="425" w:hanging="425"/>
        <w:rPr>
          <w:rFonts w:ascii="黑体" w:hAnsi="黑体" w:cs="黑体"/>
          <w:b w:val="0"/>
          <w:bCs w:val="0"/>
        </w:rPr>
      </w:pPr>
      <w:r>
        <w:rPr>
          <w:rFonts w:hint="eastAsia" w:ascii="黑体" w:hAnsi="黑体" w:cs="黑体"/>
          <w:b w:val="0"/>
          <w:bCs w:val="0"/>
        </w:rPr>
        <w:t>2.</w:t>
      </w:r>
      <w:r>
        <w:rPr>
          <w:rFonts w:ascii="黑体" w:hAnsi="黑体" w:cs="黑体"/>
          <w:b w:val="0"/>
          <w:bCs w:val="0"/>
        </w:rPr>
        <w:t>技术经济论证</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本标准根据标准制修订指南，按照技术上先进、经济上合理的总体要求编制而成。本标准的规范性技术要素为卵形鲳鲹鱼种培育环境选择、陆基鱼种培育、海上网箱培育的操作指示及转换条件，涵盖了卵形鲳鲹</w:t>
      </w:r>
      <w:r>
        <w:rPr>
          <w:rFonts w:hint="eastAsia" w:ascii="Times New Roman" w:hAnsi="Times New Roman" w:eastAsia="宋体" w:cs="宋体"/>
          <w:color w:val="000000"/>
          <w:sz w:val="24"/>
        </w:rPr>
        <w:t>大规格鱼种培育</w:t>
      </w:r>
      <w:r>
        <w:rPr>
          <w:rFonts w:ascii="Times New Roman" w:hAnsi="Times New Roman" w:eastAsia="宋体" w:cs="宋体"/>
          <w:color w:val="000000"/>
          <w:sz w:val="24"/>
        </w:rPr>
        <w:t>的主要关键技术，</w:t>
      </w:r>
      <w:r>
        <w:rPr>
          <w:rFonts w:hint="eastAsia" w:ascii="Times New Roman" w:hAnsi="Times New Roman" w:eastAsia="宋体" w:cs="宋体"/>
          <w:color w:val="000000"/>
          <w:sz w:val="24"/>
        </w:rPr>
        <w:t>相对与国内相关大规格种苗培育标准，此标准采用陆海接力方式，</w:t>
      </w:r>
      <w:r>
        <w:rPr>
          <w:rFonts w:ascii="Times New Roman" w:hAnsi="Times New Roman" w:eastAsia="宋体" w:cs="宋体"/>
          <w:color w:val="000000"/>
          <w:sz w:val="24"/>
        </w:rPr>
        <w:t>可操作性</w:t>
      </w:r>
      <w:r>
        <w:rPr>
          <w:rFonts w:hint="eastAsia" w:ascii="Times New Roman" w:hAnsi="Times New Roman" w:eastAsia="宋体" w:cs="宋体"/>
          <w:color w:val="000000"/>
          <w:sz w:val="24"/>
        </w:rPr>
        <w:t>强</w:t>
      </w:r>
      <w:r>
        <w:rPr>
          <w:rFonts w:ascii="Times New Roman" w:hAnsi="Times New Roman" w:eastAsia="宋体" w:cs="宋体"/>
          <w:color w:val="000000"/>
          <w:sz w:val="24"/>
        </w:rPr>
        <w:t>，</w:t>
      </w:r>
      <w:r>
        <w:rPr>
          <w:rFonts w:hint="eastAsia" w:ascii="Times New Roman" w:hAnsi="Times New Roman" w:eastAsia="宋体" w:cs="宋体"/>
          <w:color w:val="000000"/>
          <w:sz w:val="24"/>
        </w:rPr>
        <w:t>标粗各阶段鱼种存活率高平均可达90%以上，鱼种规格整齐、体质健壮，</w:t>
      </w:r>
      <w:r>
        <w:rPr>
          <w:rFonts w:ascii="Times New Roman" w:hAnsi="Times New Roman" w:eastAsia="宋体" w:cs="宋体"/>
          <w:color w:val="000000"/>
          <w:sz w:val="24"/>
        </w:rPr>
        <w:t>便于管理部门管理和生产单位使用，促进产业优化升级。</w:t>
      </w:r>
    </w:p>
    <w:p>
      <w:pPr>
        <w:spacing w:line="360" w:lineRule="auto"/>
        <w:rPr>
          <w:rFonts w:ascii="Times New Roman" w:hAnsi="Times New Roman" w:eastAsia="宋体" w:cs="宋体"/>
          <w:color w:val="000000"/>
          <w:sz w:val="24"/>
        </w:rPr>
      </w:pPr>
      <w:r>
        <w:rPr>
          <w:rFonts w:ascii="Times New Roman" w:hAnsi="Times New Roman" w:eastAsia="宋体" w:cs="宋体"/>
          <w:color w:val="000000"/>
          <w:sz w:val="24"/>
        </w:rPr>
        <w:t>预期的经济效益、社会效益和生态效益：</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卵形鲳鲹是现海水养殖鱼类中产量最高的品种，2023年产量已达到29.23万吨。其中广东、海南、广西、福建等地是卵形鲳鲹养殖的主要省份，随着国内水产养殖向深远海拓进，卵形鲳鲹作为优质的深远海适养鱼类，其养殖规模进一步扩大，对高质量苗种需求剧增</w:t>
      </w:r>
      <w:r>
        <w:rPr>
          <w:rFonts w:hint="eastAsia" w:ascii="Times New Roman" w:hAnsi="Times New Roman" w:eastAsia="宋体" w:cs="宋体"/>
          <w:color w:val="000000"/>
          <w:sz w:val="24"/>
        </w:rPr>
        <w:t>，湛江市是“金鲳鱼之都”，每年投放金鲳鱼苗约2亿尾，年产金鲳鱼约10万吨，</w:t>
      </w:r>
      <w:r>
        <w:rPr>
          <w:rFonts w:ascii="Times New Roman" w:hAnsi="Times New Roman" w:eastAsia="宋体" w:cs="宋体"/>
          <w:color w:val="000000"/>
          <w:sz w:val="24"/>
        </w:rPr>
        <w:t>《卵形鲳鲹</w:t>
      </w:r>
      <w:r>
        <w:rPr>
          <w:rFonts w:hint="eastAsia" w:ascii="Times New Roman" w:hAnsi="Times New Roman" w:eastAsia="宋体" w:cs="宋体"/>
          <w:color w:val="000000"/>
          <w:sz w:val="24"/>
        </w:rPr>
        <w:t>深远海陆海接力大规格鱼种培育技术规程</w:t>
      </w:r>
      <w:r>
        <w:rPr>
          <w:rFonts w:ascii="Times New Roman" w:hAnsi="Times New Roman" w:eastAsia="宋体" w:cs="宋体"/>
          <w:color w:val="000000"/>
          <w:sz w:val="24"/>
        </w:rPr>
        <w:t>》是指导</w:t>
      </w:r>
      <w:r>
        <w:rPr>
          <w:rFonts w:hint="eastAsia" w:ascii="Times New Roman" w:hAnsi="Times New Roman" w:eastAsia="宋体" w:cs="宋体"/>
          <w:color w:val="000000"/>
          <w:sz w:val="24"/>
        </w:rPr>
        <w:t>苗种培育</w:t>
      </w:r>
      <w:r>
        <w:rPr>
          <w:rFonts w:ascii="Times New Roman" w:hAnsi="Times New Roman" w:eastAsia="宋体" w:cs="宋体"/>
          <w:color w:val="000000"/>
          <w:sz w:val="24"/>
        </w:rPr>
        <w:t>生产的重要技术文件</w:t>
      </w:r>
      <w:r>
        <w:rPr>
          <w:rFonts w:hint="eastAsia" w:ascii="Times New Roman" w:hAnsi="Times New Roman" w:eastAsia="宋体" w:cs="宋体"/>
          <w:color w:val="000000"/>
          <w:sz w:val="24"/>
        </w:rPr>
        <w:t>，按照此标准标粗鱼苗可盈利2毛/尾，整个湛江可增加4000万元产值。</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《卵形鲳鲹</w:t>
      </w:r>
      <w:r>
        <w:rPr>
          <w:rFonts w:hint="eastAsia" w:ascii="Times New Roman" w:hAnsi="Times New Roman" w:eastAsia="宋体" w:cs="宋体"/>
          <w:color w:val="000000"/>
          <w:sz w:val="24"/>
        </w:rPr>
        <w:t>深远海陆海接力大规格鱼种培育技术规程</w:t>
      </w:r>
      <w:r>
        <w:rPr>
          <w:rFonts w:ascii="Times New Roman" w:hAnsi="Times New Roman" w:eastAsia="宋体" w:cs="宋体"/>
          <w:color w:val="000000"/>
          <w:sz w:val="24"/>
        </w:rPr>
        <w:t>》</w:t>
      </w:r>
      <w:r>
        <w:rPr>
          <w:rFonts w:hint="eastAsia" w:ascii="Times New Roman" w:hAnsi="Times New Roman" w:eastAsia="宋体" w:cs="宋体"/>
          <w:color w:val="000000"/>
          <w:sz w:val="24"/>
        </w:rPr>
        <w:t>地方</w:t>
      </w:r>
      <w:r>
        <w:rPr>
          <w:rFonts w:ascii="Times New Roman" w:hAnsi="Times New Roman" w:eastAsia="宋体" w:cs="宋体"/>
          <w:color w:val="000000"/>
          <w:sz w:val="24"/>
        </w:rPr>
        <w:t>标准制定，规范化的</w:t>
      </w:r>
      <w:r>
        <w:rPr>
          <w:rFonts w:hint="eastAsia" w:ascii="Times New Roman" w:hAnsi="Times New Roman" w:eastAsia="宋体" w:cs="宋体"/>
          <w:color w:val="000000"/>
          <w:sz w:val="24"/>
        </w:rPr>
        <w:t>大规格鱼种培育</w:t>
      </w:r>
      <w:r>
        <w:rPr>
          <w:rFonts w:ascii="Times New Roman" w:hAnsi="Times New Roman" w:eastAsia="宋体" w:cs="宋体"/>
          <w:color w:val="000000"/>
          <w:sz w:val="24"/>
        </w:rPr>
        <w:t>技术有助于</w:t>
      </w:r>
      <w:r>
        <w:rPr>
          <w:rFonts w:hint="eastAsia" w:ascii="Times New Roman" w:hAnsi="Times New Roman" w:eastAsia="宋体" w:cs="宋体"/>
          <w:color w:val="000000"/>
          <w:sz w:val="24"/>
        </w:rPr>
        <w:t>湛江市</w:t>
      </w:r>
      <w:r>
        <w:rPr>
          <w:rFonts w:ascii="Times New Roman" w:hAnsi="Times New Roman" w:eastAsia="宋体" w:cs="宋体"/>
          <w:color w:val="000000"/>
          <w:sz w:val="24"/>
        </w:rPr>
        <w:t>从</w:t>
      </w:r>
      <w:r>
        <w:rPr>
          <w:rFonts w:hint="eastAsia" w:ascii="Times New Roman" w:hAnsi="Times New Roman" w:eastAsia="宋体" w:cs="宋体"/>
          <w:color w:val="000000"/>
          <w:sz w:val="24"/>
        </w:rPr>
        <w:t>苗种</w:t>
      </w:r>
      <w:r>
        <w:rPr>
          <w:rFonts w:ascii="Times New Roman" w:hAnsi="Times New Roman" w:eastAsia="宋体" w:cs="宋体"/>
          <w:color w:val="000000"/>
          <w:sz w:val="24"/>
        </w:rPr>
        <w:t>源头上控制卵形鲳鲹养殖生产的质量安全，保障食品安全；有助于成熟且稳定的技术得到推广应用，推动</w:t>
      </w:r>
      <w:r>
        <w:rPr>
          <w:rFonts w:hint="eastAsia" w:ascii="Times New Roman" w:hAnsi="Times New Roman" w:eastAsia="宋体" w:cs="宋体"/>
          <w:color w:val="000000"/>
          <w:sz w:val="24"/>
        </w:rPr>
        <w:t>湛江市</w:t>
      </w:r>
      <w:r>
        <w:rPr>
          <w:rFonts w:ascii="Times New Roman" w:hAnsi="Times New Roman" w:eastAsia="宋体" w:cs="宋体"/>
          <w:color w:val="000000"/>
          <w:sz w:val="24"/>
        </w:rPr>
        <w:t>渔业科技进步；有助于</w:t>
      </w:r>
      <w:r>
        <w:rPr>
          <w:rFonts w:hint="eastAsia" w:ascii="Times New Roman" w:hAnsi="Times New Roman" w:eastAsia="宋体" w:cs="宋体"/>
          <w:color w:val="000000"/>
          <w:sz w:val="24"/>
        </w:rPr>
        <w:t>湛江市</w:t>
      </w:r>
      <w:r>
        <w:rPr>
          <w:rFonts w:ascii="Times New Roman" w:hAnsi="Times New Roman" w:eastAsia="宋体" w:cs="宋体"/>
          <w:color w:val="000000"/>
          <w:sz w:val="24"/>
        </w:rPr>
        <w:t>卵形鲳鲹产业自身发展。</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《卵形鲳鲹</w:t>
      </w:r>
      <w:r>
        <w:rPr>
          <w:rFonts w:hint="eastAsia" w:ascii="Times New Roman" w:hAnsi="Times New Roman" w:eastAsia="宋体" w:cs="宋体"/>
          <w:color w:val="000000"/>
          <w:sz w:val="24"/>
        </w:rPr>
        <w:t>深远海陆海接力大规格鱼种培育技术规程</w:t>
      </w:r>
      <w:r>
        <w:rPr>
          <w:rFonts w:ascii="Times New Roman" w:hAnsi="Times New Roman" w:eastAsia="宋体" w:cs="宋体"/>
          <w:color w:val="000000"/>
          <w:sz w:val="24"/>
        </w:rPr>
        <w:t>》</w:t>
      </w:r>
      <w:r>
        <w:rPr>
          <w:rFonts w:hint="eastAsia" w:ascii="Times New Roman" w:hAnsi="Times New Roman" w:eastAsia="宋体" w:cs="宋体"/>
          <w:color w:val="000000"/>
          <w:sz w:val="24"/>
        </w:rPr>
        <w:t>地方</w:t>
      </w:r>
      <w:r>
        <w:rPr>
          <w:rFonts w:ascii="Times New Roman" w:hAnsi="Times New Roman" w:eastAsia="宋体" w:cs="宋体"/>
          <w:color w:val="000000"/>
          <w:sz w:val="24"/>
        </w:rPr>
        <w:t>标准制定，规范化</w:t>
      </w:r>
      <w:r>
        <w:rPr>
          <w:rFonts w:hint="eastAsia" w:ascii="Times New Roman" w:hAnsi="Times New Roman" w:eastAsia="宋体" w:cs="宋体"/>
          <w:color w:val="000000"/>
          <w:sz w:val="24"/>
        </w:rPr>
        <w:t>大规格鱼种培育</w:t>
      </w:r>
      <w:r>
        <w:rPr>
          <w:rFonts w:ascii="Times New Roman" w:hAnsi="Times New Roman" w:eastAsia="宋体" w:cs="宋体"/>
          <w:color w:val="000000"/>
          <w:sz w:val="24"/>
        </w:rPr>
        <w:t>过程，可以减少对养殖水域环境的污染，提高饵料利用率，维持良好的生态环境，推动水产养殖业绿色发展。</w:t>
      </w:r>
    </w:p>
    <w:p>
      <w:pPr>
        <w:pStyle w:val="2"/>
        <w:numPr>
          <w:ilvl w:val="0"/>
          <w:numId w:val="5"/>
        </w:numPr>
      </w:pPr>
      <w:r>
        <w:t>与国际、国外同类标准技术内容对比情况</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目前尚未检索到卵形鲳鲹相关的国外、国际标准。</w:t>
      </w:r>
    </w:p>
    <w:p>
      <w:pPr>
        <w:pStyle w:val="2"/>
        <w:numPr>
          <w:ilvl w:val="0"/>
          <w:numId w:val="5"/>
        </w:numPr>
      </w:pPr>
      <w:r>
        <w:t>以国际标准为基础的起草情况，以及是否合规引用或者采用国际国外标准，并说明未采用国际标准的原因。</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目前尚未见有关卵形鲳鲹</w:t>
      </w:r>
      <w:r>
        <w:rPr>
          <w:rFonts w:hint="eastAsia" w:ascii="Times New Roman" w:hAnsi="Times New Roman" w:eastAsia="宋体" w:cs="宋体"/>
          <w:color w:val="000000"/>
          <w:sz w:val="24"/>
        </w:rPr>
        <w:t>深远海陆海接力大规格鱼种培育</w:t>
      </w:r>
      <w:r>
        <w:rPr>
          <w:rFonts w:ascii="Times New Roman" w:hAnsi="Times New Roman" w:eastAsia="宋体" w:cs="宋体"/>
          <w:color w:val="000000"/>
          <w:sz w:val="24"/>
        </w:rPr>
        <w:t>技术的国际标准发布。</w:t>
      </w:r>
    </w:p>
    <w:p>
      <w:pPr>
        <w:pStyle w:val="2"/>
        <w:numPr>
          <w:ilvl w:val="0"/>
          <w:numId w:val="5"/>
        </w:numPr>
      </w:pPr>
      <w:r>
        <w:t>与有关法律、行政法规及相关标准的关系</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本标准编制过程中，参考了国家、行业、地方有关标准，与相关的现行法律、法规和强制性标准相协调，无冲突。本标准符合《中华人民共和国渔业法》、《中华人民共和国标准化法》、《中华人民共和国农产品质量安全法》、《兽药管理条例》、《饲料和饲料添加剂管理条例》、《水产养殖质量安全管理规定》、GB11607-89《渔业水质标准》、SC/T 1132 《渔药使用规范》 规定要求，未违反相关法律法规及强制性标准的规定。</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国内已发布的有关卵形鲳鲹大规格鱼种培育的标准仅有海南省发布的《卵形鲳鲹鱼种大型网箱阶梯式中间培育技术规范》（DB46/T 430—2017），此标准仅是对海上网箱培育鱼种进行技术规范，并未全流程从陆海接力角度分段式进行标粗。</w:t>
      </w:r>
    </w:p>
    <w:p>
      <w:pPr>
        <w:spacing w:line="360" w:lineRule="auto"/>
        <w:ind w:firstLine="480" w:firstLineChars="200"/>
        <w:rPr>
          <w:rFonts w:ascii="Times New Roman" w:hAnsi="Times New Roman" w:eastAsia="宋体" w:cs="宋体"/>
          <w:color w:val="000000"/>
          <w:sz w:val="24"/>
        </w:rPr>
      </w:pPr>
      <w:r>
        <w:rPr>
          <w:rFonts w:hint="eastAsia" w:ascii="Times New Roman" w:hAnsi="Times New Roman" w:eastAsia="宋体" w:cs="宋体"/>
          <w:color w:val="000000"/>
          <w:sz w:val="24"/>
        </w:rPr>
        <w:t>本标准是对卵形鲳鲹深远海陆海接力大规格鱼种培育技术规程的初次制定，可促进</w:t>
      </w:r>
      <w:r>
        <w:rPr>
          <w:rFonts w:ascii="Times New Roman" w:hAnsi="Times New Roman" w:eastAsia="宋体" w:cs="宋体"/>
          <w:color w:val="000000"/>
          <w:sz w:val="24"/>
        </w:rPr>
        <w:t>促进湛江市卵形鲳鲹</w:t>
      </w:r>
      <w:r>
        <w:rPr>
          <w:rFonts w:hint="eastAsia" w:ascii="Times New Roman" w:hAnsi="Times New Roman" w:eastAsia="宋体" w:cs="宋体"/>
          <w:color w:val="000000"/>
          <w:sz w:val="24"/>
        </w:rPr>
        <w:t>苗种培育技术水平提升，提高养殖产量，使湛江市卵形鲳鲹</w:t>
      </w:r>
      <w:r>
        <w:rPr>
          <w:rFonts w:ascii="Times New Roman" w:hAnsi="Times New Roman" w:eastAsia="宋体" w:cs="宋体"/>
          <w:color w:val="000000"/>
          <w:sz w:val="24"/>
        </w:rPr>
        <w:t>产业</w:t>
      </w:r>
      <w:r>
        <w:rPr>
          <w:rFonts w:hint="eastAsia" w:ascii="Times New Roman" w:hAnsi="Times New Roman" w:eastAsia="宋体" w:cs="宋体"/>
          <w:color w:val="000000"/>
          <w:sz w:val="24"/>
        </w:rPr>
        <w:t>良性</w:t>
      </w:r>
      <w:r>
        <w:rPr>
          <w:rFonts w:ascii="Times New Roman" w:hAnsi="Times New Roman" w:eastAsia="宋体" w:cs="宋体"/>
          <w:color w:val="000000"/>
          <w:sz w:val="24"/>
        </w:rPr>
        <w:t>发展。</w:t>
      </w:r>
    </w:p>
    <w:p>
      <w:pPr>
        <w:pStyle w:val="2"/>
        <w:numPr>
          <w:ilvl w:val="0"/>
          <w:numId w:val="5"/>
        </w:numPr>
      </w:pPr>
      <w:r>
        <w:t>重大分歧意见的处理经过和依据</w:t>
      </w:r>
    </w:p>
    <w:p>
      <w:pPr>
        <w:widowControl/>
        <w:spacing w:line="360" w:lineRule="auto"/>
        <w:ind w:firstLine="480" w:firstLineChars="200"/>
        <w:jc w:val="left"/>
      </w:pPr>
      <w:r>
        <w:rPr>
          <w:rFonts w:hint="eastAsia" w:ascii="宋体" w:hAnsi="宋体" w:eastAsia="宋体" w:cs="宋体"/>
          <w:color w:val="000000"/>
          <w:kern w:val="0"/>
          <w:sz w:val="24"/>
          <w:lang w:bidi="ar"/>
        </w:rPr>
        <w:t>本文件在起草过程中广泛征求了来自科研、生产、管理等方面专家的意见，没有出现重大意见分歧。经过多次研讨，会上均未出现重大分歧。如果将来出现重大分歧意见，将根据湛江地区实际情况，按照标准化工作的原则，协商解决。</w:t>
      </w:r>
    </w:p>
    <w:p>
      <w:pPr>
        <w:pStyle w:val="2"/>
        <w:numPr>
          <w:ilvl w:val="0"/>
          <w:numId w:val="5"/>
        </w:numPr>
      </w:pPr>
      <w:r>
        <w:t>涉及专利的有关说明</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按照《标准化工作导则第1部分：标准化文件的结构和起草规则》（GB/T 1.1—2020）和《标准制定的特殊程序 第1部分 设计专利的标准》（GB/T 20003.1—2014）的规定，项目组在起草阶段，检索国家知识产权局网站，对已有卵形鲳鲹相关</w:t>
      </w:r>
      <w:r>
        <w:rPr>
          <w:rFonts w:hint="eastAsia" w:ascii="Times New Roman" w:hAnsi="Times New Roman" w:eastAsia="宋体" w:cs="宋体"/>
          <w:color w:val="000000"/>
          <w:sz w:val="24"/>
        </w:rPr>
        <w:t>大规格鱼种培育技术</w:t>
      </w:r>
      <w:r>
        <w:rPr>
          <w:rFonts w:ascii="Times New Roman" w:hAnsi="Times New Roman" w:eastAsia="宋体" w:cs="宋体"/>
          <w:color w:val="000000"/>
          <w:sz w:val="24"/>
        </w:rPr>
        <w:t>专利进行分析论证，得出本标准所涉及的技术内容不涉及相关专利。</w:t>
      </w:r>
    </w:p>
    <w:p>
      <w:pPr>
        <w:pStyle w:val="2"/>
        <w:numPr>
          <w:ilvl w:val="0"/>
          <w:numId w:val="5"/>
        </w:numPr>
      </w:pPr>
      <w:r>
        <w:t>实施标准的要求，以及组织措施、技术措施、过渡期和实施日期的建议等措施建议</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本标准的制定，使卵形鲳鲹大规格鱼种培育技术规范化和标准化，便于企业参照标准文本开展苗种生产，便于技术监督管理部门进行管理和监督，为使卵形鲳鲹产业健康可持续发展，建议：</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1、管理部门以本标准为依据，加大对卵形鲳鲹苗种生产企业的管理和监督，以期达到规范化苗种生产的目的；</w:t>
      </w:r>
    </w:p>
    <w:p>
      <w:pPr>
        <w:spacing w:line="360" w:lineRule="auto"/>
        <w:ind w:firstLine="480" w:firstLineChars="200"/>
        <w:rPr>
          <w:rFonts w:ascii="Times New Roman" w:hAnsi="Times New Roman" w:eastAsia="宋体" w:cs="宋体"/>
          <w:color w:val="000000"/>
          <w:sz w:val="24"/>
        </w:rPr>
      </w:pPr>
      <w:r>
        <w:rPr>
          <w:rFonts w:ascii="Times New Roman" w:hAnsi="Times New Roman" w:eastAsia="宋体" w:cs="宋体"/>
          <w:color w:val="000000"/>
          <w:sz w:val="24"/>
        </w:rPr>
        <w:t>2、加大本标准的宣传和实施力度，充分发挥本标准在卵形鲳鲹苗种生产中的作用，促进卵形鲳鲹产业的绿色高效可持续发展。</w:t>
      </w:r>
    </w:p>
    <w:p>
      <w:pPr>
        <w:pStyle w:val="2"/>
        <w:numPr>
          <w:ilvl w:val="0"/>
          <w:numId w:val="5"/>
        </w:numPr>
      </w:pPr>
      <w:r>
        <w:t>其他应当说明的事项</w:t>
      </w:r>
    </w:p>
    <w:p>
      <w:pPr>
        <w:widowControl/>
        <w:spacing w:line="360" w:lineRule="auto"/>
        <w:ind w:firstLine="480" w:firstLineChars="200"/>
        <w:jc w:val="left"/>
      </w:pPr>
      <w:r>
        <w:rPr>
          <w:rFonts w:ascii="Times New Roman" w:hAnsi="Times New Roman" w:eastAsia="宋体" w:cs="宋体"/>
          <w:color w:val="000000"/>
          <w:sz w:val="24"/>
        </w:rPr>
        <w:t>无。</w:t>
      </w:r>
    </w:p>
    <w:p>
      <w:pPr>
        <w:widowControl/>
        <w:spacing w:line="360" w:lineRule="auto"/>
        <w:jc w:val="right"/>
      </w:pPr>
      <w:r>
        <w:rPr>
          <w:rFonts w:hint="eastAsia" w:ascii="宋体" w:hAnsi="宋体" w:eastAsia="宋体" w:cs="宋体"/>
          <w:color w:val="000000"/>
          <w:kern w:val="0"/>
          <w:sz w:val="24"/>
          <w:lang w:bidi="ar"/>
        </w:rPr>
        <w:t xml:space="preserve">《卵形鲳鲹深远海陆海接力大规格鱼种培育技术规程》标准编制组 </w:t>
      </w:r>
    </w:p>
    <w:p>
      <w:pPr>
        <w:widowControl/>
        <w:spacing w:line="360" w:lineRule="auto"/>
        <w:jc w:val="right"/>
      </w:pPr>
      <w:r>
        <w:rPr>
          <w:rFonts w:hint="eastAsia" w:ascii="宋体" w:hAnsi="宋体" w:eastAsia="宋体" w:cs="宋体"/>
          <w:color w:val="000000"/>
          <w:kern w:val="0"/>
          <w:sz w:val="24"/>
          <w:lang w:bidi="ar"/>
        </w:rPr>
        <w:t>2025年6月</w:t>
      </w:r>
    </w:p>
    <w:p>
      <w:pPr>
        <w:spacing w:line="360" w:lineRule="auto"/>
        <w:ind w:firstLine="480" w:firstLineChars="200"/>
        <w:jc w:val="right"/>
        <w:rPr>
          <w:rFonts w:ascii="Times New Roman" w:hAnsi="Times New Roman" w:eastAsia="宋体" w:cs="宋体"/>
          <w:color w:val="000000"/>
          <w:sz w:val="24"/>
        </w:rPr>
        <w:sectPr>
          <w:pgSz w:w="11906" w:h="16838"/>
          <w:pgMar w:top="1440" w:right="1800" w:bottom="1440" w:left="1800" w:header="851" w:footer="992" w:gutter="0"/>
          <w:cols w:space="425" w:num="1"/>
          <w:docGrid w:type="lines" w:linePitch="312" w:charSpace="0"/>
        </w:sectPr>
      </w:pPr>
    </w:p>
    <w:p>
      <w:pPr>
        <w:spacing w:line="360" w:lineRule="auto"/>
        <w:rPr>
          <w:rFonts w:ascii="Times New Roman" w:hAnsi="Times New Roman" w:eastAsia="宋体" w:cs="宋体"/>
          <w:color w:val="000000"/>
          <w:sz w:val="24"/>
        </w:rPr>
      </w:pPr>
    </w:p>
    <w:p>
      <w:pPr>
        <w:pStyle w:val="2"/>
      </w:pPr>
      <w:r>
        <w:t>参考文献：</w:t>
      </w:r>
    </w:p>
    <w:p>
      <w:pPr>
        <w:numPr>
          <w:ilvl w:val="0"/>
          <w:numId w:val="6"/>
        </w:numPr>
      </w:pPr>
      <w:r>
        <w:rPr>
          <w:rFonts w:hint="eastAsia"/>
        </w:rPr>
        <w:t>农忠,吴海峰,谢宗升,等.广西地区卵形鲳鲹"陆海接力模式"养殖技术[J].科学养鱼, 2024(8):70-71.</w:t>
      </w:r>
    </w:p>
    <w:p>
      <w:pPr>
        <w:numPr>
          <w:ilvl w:val="0"/>
          <w:numId w:val="6"/>
        </w:numPr>
      </w:pPr>
      <w:r>
        <w:rPr>
          <w:rFonts w:ascii="Arial" w:hAnsi="Arial" w:eastAsia="宋体" w:cs="Arial"/>
          <w:color w:val="333333"/>
          <w:szCs w:val="21"/>
          <w:shd w:val="clear" w:color="auto" w:fill="FFFFFF"/>
        </w:rPr>
        <w:t>彭俊耀, 梁怡姬, 欧小华. 卵形鲳鲹人工繁殖及育苗技术[J]. 海洋与渔业, 2017, (04): 54-55.</w:t>
      </w:r>
    </w:p>
    <w:p>
      <w:pPr>
        <w:numPr>
          <w:ilvl w:val="0"/>
          <w:numId w:val="6"/>
        </w:numPr>
      </w:pPr>
      <w:r>
        <w:t>彭志东.卵形鲳鳕的人工繁育技术[J].内陆水产, 2007.</w:t>
      </w:r>
    </w:p>
    <w:p>
      <w:pPr>
        <w:numPr>
          <w:ilvl w:val="0"/>
          <w:numId w:val="6"/>
        </w:numPr>
      </w:pPr>
      <w:r>
        <w:t>张静,胡长圣,刘前,等.流速对卵形鲳鲹游泳行为及运动生理的影响[J].中国水产科学, 2024(3).</w:t>
      </w:r>
    </w:p>
    <w:p>
      <w:pPr>
        <w:numPr>
          <w:ilvl w:val="0"/>
          <w:numId w:val="6"/>
        </w:numPr>
      </w:pPr>
      <w:r>
        <w:t>高祥云,王秀琴,丁丰源,等.团头鲂"华海2号"池塘生态养殖技术[J].科学养鱼, 2025(3).</w:t>
      </w:r>
    </w:p>
    <w:p>
      <w:pPr>
        <w:numPr>
          <w:ilvl w:val="0"/>
          <w:numId w:val="6"/>
        </w:numPr>
      </w:pPr>
      <w:r>
        <w:t>韦爱良,唐玉华.春季鱼塘管理技术(下)[J].农家致富, 2025(3).</w:t>
      </w:r>
    </w:p>
    <w:p>
      <w:pPr>
        <w:numPr>
          <w:ilvl w:val="0"/>
          <w:numId w:val="6"/>
        </w:numPr>
      </w:pPr>
      <w:r>
        <w:t>林青龙.养殖金鲳鱼收入创新高[J].农村百事通, 2015</w:t>
      </w:r>
      <w:r>
        <w:rPr>
          <w:rFonts w:hint="eastAsia"/>
        </w:rPr>
        <w:t>.</w:t>
      </w:r>
    </w:p>
    <w:p>
      <w:pPr>
        <w:numPr>
          <w:ilvl w:val="0"/>
          <w:numId w:val="6"/>
        </w:numPr>
      </w:pPr>
      <w:r>
        <w:t>刘锡强,马学坤,刘康,等.华南地区金鲳鱼养殖报告[J].当代水产, 2014, 000(002)</w:t>
      </w:r>
      <w:r>
        <w:rPr>
          <w:rFonts w:hint="eastAsia"/>
        </w:rPr>
        <w:t>.</w:t>
      </w:r>
    </w:p>
    <w:p>
      <w:pPr>
        <w:numPr>
          <w:ilvl w:val="0"/>
          <w:numId w:val="6"/>
        </w:numPr>
      </w:pPr>
      <w:r>
        <w:t>刘波.盐度和投喂频率对卵形鲳鲹生长和生理的影响[D].上海海洋大学.</w:t>
      </w:r>
    </w:p>
    <w:p>
      <w:pPr>
        <w:numPr>
          <w:ilvl w:val="0"/>
          <w:numId w:val="6"/>
        </w:numPr>
      </w:pPr>
      <w:r>
        <w:t>周勤勇,李鑫渲,罗文佳,等.不同投喂方式对网箱养殖卵形鲳鲶生长及其营养成分的影响[J].渔业现代化, 2013.</w:t>
      </w:r>
    </w:p>
    <w:p>
      <w:pPr>
        <w:numPr>
          <w:ilvl w:val="0"/>
          <w:numId w:val="6"/>
        </w:numPr>
      </w:pPr>
      <w:r>
        <w:t>吴玉波,王岩.投喂频率对卵形鲳鲹生长、食物利用及鱼体组成的影响[C]//中国水产学会学术年会.2011.</w:t>
      </w:r>
    </w:p>
    <w:p>
      <w:pPr>
        <w:numPr>
          <w:ilvl w:val="0"/>
          <w:numId w:val="6"/>
        </w:numPr>
      </w:pPr>
      <w:r>
        <w:t>吴英.预防和避免养殖鱼类应激反应的措施[J].渔业致富指南, 2024(4):58-61.</w:t>
      </w:r>
    </w:p>
    <w:p>
      <w:pPr>
        <w:numPr>
          <w:ilvl w:val="0"/>
          <w:numId w:val="6"/>
        </w:numPr>
      </w:pPr>
      <w:r>
        <w:t>梁前才,戴建洪.深水抗风浪网箱养殖卵形鲳鲹技术[J].科学养鱼, 2020(5):2.</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92F805"/>
    <w:multiLevelType w:val="singleLevel"/>
    <w:tmpl w:val="AD92F805"/>
    <w:lvl w:ilvl="0" w:tentative="0">
      <w:start w:val="4"/>
      <w:numFmt w:val="chineseCounting"/>
      <w:suff w:val="nothing"/>
      <w:lvlText w:val="%1、"/>
      <w:lvlJc w:val="left"/>
      <w:rPr>
        <w:rFonts w:hint="eastAsia"/>
      </w:rPr>
    </w:lvl>
  </w:abstractNum>
  <w:abstractNum w:abstractNumId="1">
    <w:nsid w:val="CD720CC8"/>
    <w:multiLevelType w:val="multilevel"/>
    <w:tmpl w:val="CD720CC8"/>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E0282C27"/>
    <w:multiLevelType w:val="singleLevel"/>
    <w:tmpl w:val="E0282C27"/>
    <w:lvl w:ilvl="0" w:tentative="0">
      <w:start w:val="1"/>
      <w:numFmt w:val="decimal"/>
      <w:lvlText w:val="%1."/>
      <w:lvlJc w:val="left"/>
      <w:pPr>
        <w:tabs>
          <w:tab w:val="left" w:pos="312"/>
        </w:tabs>
      </w:pPr>
    </w:lvl>
  </w:abstractNum>
  <w:abstractNum w:abstractNumId="3">
    <w:nsid w:val="44C50F90"/>
    <w:multiLevelType w:val="multilevel"/>
    <w:tmpl w:val="44C50F90"/>
    <w:lvl w:ilvl="0" w:tentative="0">
      <w:start w:val="1"/>
      <w:numFmt w:val="lowerLetter"/>
      <w:pStyle w:val="16"/>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0"/>
      <w:suff w:val="nothing"/>
      <w:lvlText w:val="%1%2　"/>
      <w:lvlJc w:val="left"/>
      <w:pPr>
        <w:ind w:left="0" w:firstLine="0"/>
      </w:pPr>
      <w:rPr>
        <w:rFonts w:hint="eastAsia" w:ascii="黑体" w:eastAsia="黑体"/>
        <w:b w:val="0"/>
        <w:i w:val="0"/>
        <w:sz w:val="21"/>
      </w:rPr>
    </w:lvl>
    <w:lvl w:ilvl="2" w:tentative="0">
      <w:start w:val="1"/>
      <w:numFmt w:val="decimal"/>
      <w:pStyle w:val="1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76FA00AB"/>
    <w:multiLevelType w:val="multilevel"/>
    <w:tmpl w:val="76FA00AB"/>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3"/>
  </w:num>
  <w:num w:numId="2">
    <w:abstractNumId w:val="4"/>
  </w:num>
  <w:num w:numId="3">
    <w:abstractNumId w:val="5"/>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5BF"/>
    <w:rsid w:val="00153E27"/>
    <w:rsid w:val="007105BF"/>
    <w:rsid w:val="00D80C09"/>
    <w:rsid w:val="00FC4556"/>
    <w:rsid w:val="01CA5CC8"/>
    <w:rsid w:val="02B91367"/>
    <w:rsid w:val="05313119"/>
    <w:rsid w:val="06021E00"/>
    <w:rsid w:val="0642463D"/>
    <w:rsid w:val="07BC1819"/>
    <w:rsid w:val="07CF155D"/>
    <w:rsid w:val="08202256"/>
    <w:rsid w:val="0A59635E"/>
    <w:rsid w:val="0E1C45BB"/>
    <w:rsid w:val="0ECF781E"/>
    <w:rsid w:val="0FF5213F"/>
    <w:rsid w:val="1070107F"/>
    <w:rsid w:val="10924E79"/>
    <w:rsid w:val="10D74342"/>
    <w:rsid w:val="11A5566B"/>
    <w:rsid w:val="11D36D81"/>
    <w:rsid w:val="11E331E8"/>
    <w:rsid w:val="12413BFD"/>
    <w:rsid w:val="12AD7390"/>
    <w:rsid w:val="14DF33FC"/>
    <w:rsid w:val="191101D7"/>
    <w:rsid w:val="1A262263"/>
    <w:rsid w:val="1BCE436E"/>
    <w:rsid w:val="1C2F39B5"/>
    <w:rsid w:val="1D570900"/>
    <w:rsid w:val="1E06634F"/>
    <w:rsid w:val="1F130889"/>
    <w:rsid w:val="20B5647A"/>
    <w:rsid w:val="23EB7C72"/>
    <w:rsid w:val="25542A0A"/>
    <w:rsid w:val="268042BF"/>
    <w:rsid w:val="27685A06"/>
    <w:rsid w:val="29546EC8"/>
    <w:rsid w:val="2B09486A"/>
    <w:rsid w:val="2B466BDE"/>
    <w:rsid w:val="2C3832F6"/>
    <w:rsid w:val="2DA40C9B"/>
    <w:rsid w:val="2DB444DD"/>
    <w:rsid w:val="2F3D534A"/>
    <w:rsid w:val="3008531D"/>
    <w:rsid w:val="32AC094E"/>
    <w:rsid w:val="357D6D2D"/>
    <w:rsid w:val="35F965A0"/>
    <w:rsid w:val="38FD7B2A"/>
    <w:rsid w:val="3A182598"/>
    <w:rsid w:val="3A754611"/>
    <w:rsid w:val="3A87240D"/>
    <w:rsid w:val="3B0A36ED"/>
    <w:rsid w:val="3D2C2CF1"/>
    <w:rsid w:val="3D3B0794"/>
    <w:rsid w:val="3EB62F71"/>
    <w:rsid w:val="3FFB630A"/>
    <w:rsid w:val="404A2EC7"/>
    <w:rsid w:val="408F4D68"/>
    <w:rsid w:val="44987712"/>
    <w:rsid w:val="458669C8"/>
    <w:rsid w:val="45E47DE0"/>
    <w:rsid w:val="47024485"/>
    <w:rsid w:val="4A41557E"/>
    <w:rsid w:val="4D1572B1"/>
    <w:rsid w:val="4F2953A8"/>
    <w:rsid w:val="517B434B"/>
    <w:rsid w:val="54F04D0D"/>
    <w:rsid w:val="58823F39"/>
    <w:rsid w:val="5B7B5412"/>
    <w:rsid w:val="5C9266AB"/>
    <w:rsid w:val="5F7558FC"/>
    <w:rsid w:val="64C964D2"/>
    <w:rsid w:val="6558642B"/>
    <w:rsid w:val="665E7BD6"/>
    <w:rsid w:val="66872C37"/>
    <w:rsid w:val="687A3E24"/>
    <w:rsid w:val="6A801B7D"/>
    <w:rsid w:val="6A9260A0"/>
    <w:rsid w:val="6B8E2622"/>
    <w:rsid w:val="6EB3679D"/>
    <w:rsid w:val="6F4D4C8B"/>
    <w:rsid w:val="72466DE6"/>
    <w:rsid w:val="772323DF"/>
    <w:rsid w:val="77ED2F50"/>
    <w:rsid w:val="78225116"/>
    <w:rsid w:val="7B3912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rFonts w:eastAsia="黑体"/>
      <w:b/>
      <w:bCs/>
      <w:kern w:val="44"/>
      <w:sz w:val="24"/>
      <w:szCs w:val="44"/>
    </w:rPr>
  </w:style>
  <w:style w:type="paragraph" w:styleId="3">
    <w:name w:val="heading 2"/>
    <w:basedOn w:val="1"/>
    <w:next w:val="1"/>
    <w:semiHidden/>
    <w:unhideWhenUsed/>
    <w:qFormat/>
    <w:uiPriority w:val="0"/>
    <w:pPr>
      <w:keepNext/>
      <w:keepLines/>
      <w:spacing w:before="260" w:after="260" w:line="416" w:lineRule="auto"/>
      <w:outlineLvl w:val="1"/>
    </w:pPr>
    <w:rPr>
      <w:rFonts w:ascii="等线 Light" w:hAnsi="等线 Light" w:eastAsia="等线 Light" w:cs="Times New Roman"/>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2"/>
    <w:qFormat/>
    <w:uiPriority w:val="0"/>
    <w:pPr>
      <w:jc w:val="left"/>
    </w:pPr>
  </w:style>
  <w:style w:type="paragraph" w:styleId="5">
    <w:name w:val="Plain Text"/>
    <w:basedOn w:val="1"/>
    <w:qFormat/>
    <w:uiPriority w:val="0"/>
    <w:rPr>
      <w:rFonts w:ascii="宋体" w:hAnsi="Courier New"/>
    </w:rPr>
  </w:style>
  <w:style w:type="paragraph" w:styleId="6">
    <w:name w:val="Balloon Text"/>
    <w:basedOn w:val="1"/>
    <w:link w:val="21"/>
    <w:qFormat/>
    <w:uiPriority w:val="0"/>
    <w:rPr>
      <w:sz w:val="18"/>
      <w:szCs w:val="18"/>
    </w:rPr>
  </w:style>
  <w:style w:type="paragraph" w:styleId="7">
    <w:name w:val="Title"/>
    <w:basedOn w:val="3"/>
    <w:next w:val="1"/>
    <w:qFormat/>
    <w:uiPriority w:val="0"/>
    <w:pPr>
      <w:spacing w:before="0" w:after="0" w:line="360" w:lineRule="auto"/>
      <w:jc w:val="left"/>
    </w:pPr>
    <w:rPr>
      <w:rFonts w:ascii="Times New Roman" w:hAnsi="Times New Roman" w:eastAsia="黑体"/>
      <w:color w:val="000000"/>
      <w:kern w:val="0"/>
      <w:sz w:val="24"/>
      <w:szCs w:val="24"/>
    </w:rPr>
  </w:style>
  <w:style w:type="paragraph" w:styleId="8">
    <w:name w:val="annotation subject"/>
    <w:basedOn w:val="4"/>
    <w:next w:val="4"/>
    <w:link w:val="23"/>
    <w:qFormat/>
    <w:uiPriority w:val="0"/>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b/>
      <w:bCs/>
    </w:rPr>
  </w:style>
  <w:style w:type="character" w:styleId="13">
    <w:name w:val="Hyperlink"/>
    <w:basedOn w:val="11"/>
    <w:qFormat/>
    <w:uiPriority w:val="0"/>
    <w:rPr>
      <w:color w:val="0000FF"/>
      <w:u w:val="single"/>
    </w:rPr>
  </w:style>
  <w:style w:type="character" w:styleId="14">
    <w:name w:val="annotation reference"/>
    <w:basedOn w:val="11"/>
    <w:qFormat/>
    <w:uiPriority w:val="0"/>
    <w:rPr>
      <w:sz w:val="21"/>
      <w:szCs w:val="21"/>
    </w:rPr>
  </w:style>
  <w:style w:type="paragraph" w:customStyle="1" w:styleId="1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6">
    <w:name w:val="标准文件_字母编号列项（一级）"/>
    <w:qFormat/>
    <w:uiPriority w:val="0"/>
    <w:pPr>
      <w:numPr>
        <w:ilvl w:val="0"/>
        <w:numId w:val="1"/>
      </w:numPr>
      <w:jc w:val="both"/>
    </w:pPr>
    <w:rPr>
      <w:rFonts w:ascii="宋体" w:hAnsi="Times New Roman" w:eastAsia="宋体" w:cs="Times New Roman"/>
      <w:sz w:val="21"/>
      <w:lang w:val="en-US" w:eastAsia="zh-CN" w:bidi="ar-SA"/>
    </w:rPr>
  </w:style>
  <w:style w:type="paragraph" w:customStyle="1" w:styleId="17">
    <w:name w:val="标准文件_术语条一"/>
    <w:basedOn w:val="18"/>
    <w:next w:val="15"/>
    <w:qFormat/>
    <w:uiPriority w:val="0"/>
  </w:style>
  <w:style w:type="paragraph" w:customStyle="1" w:styleId="18">
    <w:name w:val="标准文件_一级无标题"/>
    <w:basedOn w:val="19"/>
    <w:qFormat/>
    <w:uiPriority w:val="0"/>
    <w:pPr>
      <w:spacing w:before="0" w:beforeLines="0" w:after="0" w:afterLines="0"/>
      <w:outlineLvl w:val="9"/>
    </w:pPr>
    <w:rPr>
      <w:rFonts w:ascii="宋体" w:eastAsia="宋体"/>
    </w:rPr>
  </w:style>
  <w:style w:type="paragraph" w:customStyle="1" w:styleId="19">
    <w:name w:val="标准文件_一级条标题"/>
    <w:basedOn w:val="20"/>
    <w:next w:val="15"/>
    <w:qFormat/>
    <w:uiPriority w:val="0"/>
    <w:pPr>
      <w:numPr>
        <w:ilvl w:val="2"/>
      </w:numPr>
      <w:spacing w:before="50" w:beforeLines="50" w:after="50" w:afterLines="50"/>
      <w:outlineLvl w:val="1"/>
    </w:pPr>
  </w:style>
  <w:style w:type="paragraph" w:customStyle="1" w:styleId="20">
    <w:name w:val="标准文件_章标题"/>
    <w:next w:val="15"/>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character" w:customStyle="1" w:styleId="21">
    <w:name w:val="批注框文本 Char"/>
    <w:basedOn w:val="11"/>
    <w:link w:val="6"/>
    <w:qFormat/>
    <w:uiPriority w:val="0"/>
    <w:rPr>
      <w:rFonts w:asciiTheme="minorHAnsi" w:hAnsiTheme="minorHAnsi" w:eastAsiaTheme="minorEastAsia" w:cstheme="minorBidi"/>
      <w:kern w:val="2"/>
      <w:sz w:val="18"/>
      <w:szCs w:val="18"/>
    </w:rPr>
  </w:style>
  <w:style w:type="character" w:customStyle="1" w:styleId="22">
    <w:name w:val="批注文字 Char"/>
    <w:basedOn w:val="11"/>
    <w:link w:val="4"/>
    <w:qFormat/>
    <w:uiPriority w:val="0"/>
    <w:rPr>
      <w:rFonts w:asciiTheme="minorHAnsi" w:hAnsiTheme="minorHAnsi" w:eastAsiaTheme="minorEastAsia" w:cstheme="minorBidi"/>
      <w:kern w:val="2"/>
      <w:sz w:val="21"/>
      <w:szCs w:val="24"/>
    </w:rPr>
  </w:style>
  <w:style w:type="character" w:customStyle="1" w:styleId="23">
    <w:name w:val="批注主题 Char"/>
    <w:basedOn w:val="22"/>
    <w:link w:val="8"/>
    <w:qFormat/>
    <w:uiPriority w:val="0"/>
    <w:rPr>
      <w:rFonts w:asciiTheme="minorHAnsi" w:hAnsiTheme="minorHAnsi" w:eastAsiaTheme="minorEastAsia" w:cstheme="minorBidi"/>
      <w:b/>
      <w:bCs/>
      <w:kern w:val="2"/>
      <w:sz w:val="21"/>
      <w:szCs w:val="24"/>
    </w:rPr>
  </w:style>
  <w:style w:type="paragraph" w:customStyle="1" w:styleId="24">
    <w:name w:val="标准文件_二级条标题"/>
    <w:next w:val="15"/>
    <w:qFormat/>
    <w:uiPriority w:val="0"/>
    <w:pPr>
      <w:widowControl w:val="0"/>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25">
    <w:name w:val="标准文件_三级条标题"/>
    <w:basedOn w:val="24"/>
    <w:next w:val="15"/>
    <w:qFormat/>
    <w:uiPriority w:val="0"/>
    <w:pPr>
      <w:widowControl/>
      <w:outlineLvl w:val="3"/>
    </w:pPr>
  </w:style>
  <w:style w:type="paragraph" w:customStyle="1" w:styleId="26">
    <w:name w:val="标准文件_四级条标题"/>
    <w:next w:val="15"/>
    <w:qFormat/>
    <w:uiPriority w:val="0"/>
    <w:pPr>
      <w:widowControl w:val="0"/>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27">
    <w:name w:val="标准文件_五级条标题"/>
    <w:next w:val="15"/>
    <w:qFormat/>
    <w:uiPriority w:val="0"/>
    <w:pPr>
      <w:widowControl w:val="0"/>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28">
    <w:name w:val="前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22</Pages>
  <Words>10240</Words>
  <Characters>11495</Characters>
  <Lines>127</Lines>
  <Paragraphs>35</Paragraphs>
  <TotalTime>3</TotalTime>
  <ScaleCrop>false</ScaleCrop>
  <LinksUpToDate>false</LinksUpToDate>
  <CharactersWithSpaces>11807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2025-03-17T01:18:00Z</dcterms:created>
  <dc:creator>cnx</dc:creator>
  <cp:lastModifiedBy>林娇</cp:lastModifiedBy>
  <dcterms:modified xsi:type="dcterms:W3CDTF">2025-07-11T02:19:56Z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KSOTemplateDocerSaveRecord">
    <vt:lpwstr>eyJoZGlkIjoiMDc1ZjgwNjNhYzYyMzk2NTdlNjAwYjM1NjU2MzllZTUiLCJ1c2VySWQiOiIxNjQ5NDc0NSJ9</vt:lpwstr>
  </property>
  <property fmtid="{D5CDD505-2E9C-101B-9397-08002B2CF9AE}" pid="4" name="ICV">
    <vt:lpwstr>CFA86494F8A24C728A04203F4B11FA79_13</vt:lpwstr>
  </property>
</Properties>
</file>